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harts/chart1.xml" ContentType="application/vnd.openxmlformats-officedocument.drawingml.chart+xml"/>
  <Override PartName="/word/charts/chart2.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2" w:type="dxa"/>
        <w:tblInd w:w="-45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D9D9D9" w:themeFill="background1" w:themeFillShade="D9"/>
        <w:tblLayout w:type="fixed"/>
        <w:tblLook w:val="04A0" w:firstRow="1" w:lastRow="0" w:firstColumn="1" w:lastColumn="0" w:noHBand="0" w:noVBand="1"/>
      </w:tblPr>
      <w:tblGrid>
        <w:gridCol w:w="5954"/>
        <w:gridCol w:w="284"/>
        <w:gridCol w:w="4394"/>
      </w:tblGrid>
      <w:tr w:rsidR="004E686A" w:rsidRPr="00973C4E" w:rsidTr="00E72405">
        <w:trPr>
          <w:trHeight w:val="268"/>
        </w:trPr>
        <w:tc>
          <w:tcPr>
            <w:tcW w:w="5954" w:type="dxa"/>
            <w:tcBorders>
              <w:top w:val="nil"/>
              <w:left w:val="nil"/>
              <w:bottom w:val="single" w:sz="4" w:space="0" w:color="BFBFBF" w:themeColor="background1" w:themeShade="BF"/>
              <w:right w:val="nil"/>
            </w:tcBorders>
            <w:shd w:val="clear" w:color="auto" w:fill="FFFFFF" w:themeFill="background1"/>
            <w:vAlign w:val="center"/>
          </w:tcPr>
          <w:p w:rsidR="004E686A" w:rsidRPr="00DB2EBC" w:rsidRDefault="00DB2EBC" w:rsidP="00C01BE5">
            <w:pPr>
              <w:rPr>
                <w:rFonts w:ascii="Calibri" w:hAnsi="Calibri"/>
                <w:sz w:val="20"/>
              </w:rPr>
            </w:pPr>
            <w:r w:rsidRPr="00DB2EBC">
              <w:rPr>
                <w:rFonts w:ascii="Calibri" w:hAnsi="Calibri"/>
                <w:sz w:val="20"/>
              </w:rPr>
              <w:t>Şirket Raporu</w:t>
            </w:r>
            <w:r w:rsidR="00E41A4D">
              <w:rPr>
                <w:rFonts w:ascii="Calibri" w:hAnsi="Calibri"/>
                <w:sz w:val="20"/>
              </w:rPr>
              <w:t xml:space="preserve"> </w:t>
            </w:r>
            <w:r w:rsidR="004E686A" w:rsidRPr="00DB2EBC">
              <w:rPr>
                <w:rFonts w:ascii="Calibri" w:hAnsi="Calibri"/>
                <w:sz w:val="20"/>
              </w:rPr>
              <w:t xml:space="preserve">/ </w:t>
            </w:r>
            <w:r>
              <w:rPr>
                <w:rFonts w:ascii="Calibri" w:hAnsi="Calibri"/>
                <w:sz w:val="20"/>
              </w:rPr>
              <w:t>Bilanço Değerlendirmesi</w:t>
            </w:r>
            <w:r w:rsidR="00855272">
              <w:rPr>
                <w:rFonts w:ascii="Calibri" w:hAnsi="Calibri"/>
                <w:sz w:val="20"/>
              </w:rPr>
              <w:t xml:space="preserve"> ve Hedef Değer Revizyonu</w:t>
            </w:r>
          </w:p>
        </w:tc>
        <w:tc>
          <w:tcPr>
            <w:tcW w:w="284" w:type="dxa"/>
            <w:tcBorders>
              <w:top w:val="nil"/>
              <w:left w:val="nil"/>
              <w:bottom w:val="single" w:sz="4" w:space="0" w:color="BFBFBF" w:themeColor="background1" w:themeShade="BF"/>
              <w:right w:val="nil"/>
            </w:tcBorders>
            <w:shd w:val="clear" w:color="auto" w:fill="FFFFFF" w:themeFill="background1"/>
            <w:vAlign w:val="center"/>
          </w:tcPr>
          <w:p w:rsidR="004E686A" w:rsidRPr="00973C4E" w:rsidRDefault="004E686A" w:rsidP="004E686A">
            <w:pPr>
              <w:rPr>
                <w:rFonts w:ascii="Calibri" w:hAnsi="Calibri"/>
                <w:sz w:val="20"/>
                <w:lang w:val="en-GB"/>
              </w:rPr>
            </w:pPr>
          </w:p>
        </w:tc>
        <w:tc>
          <w:tcPr>
            <w:tcW w:w="4394" w:type="dxa"/>
            <w:tcBorders>
              <w:top w:val="nil"/>
              <w:left w:val="nil"/>
              <w:bottom w:val="single" w:sz="4" w:space="0" w:color="BFBFBF" w:themeColor="background1" w:themeShade="BF"/>
              <w:right w:val="nil"/>
            </w:tcBorders>
            <w:shd w:val="clear" w:color="auto" w:fill="FFFFFF" w:themeFill="background1"/>
            <w:vAlign w:val="center"/>
          </w:tcPr>
          <w:p w:rsidR="004E686A" w:rsidRPr="00973C4E" w:rsidRDefault="00181255" w:rsidP="00DB2EBC">
            <w:pPr>
              <w:ind w:right="-105"/>
              <w:jc w:val="right"/>
              <w:rPr>
                <w:rFonts w:ascii="Calibri" w:hAnsi="Calibri"/>
                <w:sz w:val="20"/>
                <w:lang w:val="en-GB"/>
              </w:rPr>
            </w:pPr>
            <w:r>
              <w:rPr>
                <w:rFonts w:ascii="Calibri" w:hAnsi="Calibri"/>
                <w:sz w:val="20"/>
                <w:lang w:val="en-GB"/>
              </w:rPr>
              <w:fldChar w:fldCharType="begin"/>
            </w:r>
            <w:r>
              <w:rPr>
                <w:rFonts w:ascii="Calibri" w:hAnsi="Calibri"/>
                <w:sz w:val="20"/>
              </w:rPr>
              <w:instrText xml:space="preserve"> TIME \@ "d MMMM yyyy" </w:instrText>
            </w:r>
            <w:r>
              <w:rPr>
                <w:rFonts w:ascii="Calibri" w:hAnsi="Calibri"/>
                <w:sz w:val="20"/>
                <w:lang w:val="en-GB"/>
              </w:rPr>
              <w:fldChar w:fldCharType="separate"/>
            </w:r>
            <w:r w:rsidR="00196E8E">
              <w:rPr>
                <w:rFonts w:ascii="Calibri" w:hAnsi="Calibri"/>
                <w:noProof/>
                <w:sz w:val="20"/>
              </w:rPr>
              <w:t>10 Ağustos 2022</w:t>
            </w:r>
            <w:r>
              <w:rPr>
                <w:rFonts w:ascii="Calibri" w:hAnsi="Calibri"/>
                <w:sz w:val="20"/>
                <w:lang w:val="en-GB"/>
              </w:rPr>
              <w:fldChar w:fldCharType="end"/>
            </w:r>
          </w:p>
        </w:tc>
      </w:tr>
      <w:tr w:rsidR="004E686A" w:rsidRPr="004A1625" w:rsidTr="009A3585">
        <w:trPr>
          <w:trHeight w:val="1232"/>
        </w:trPr>
        <w:tc>
          <w:tcPr>
            <w:tcW w:w="5954" w:type="dxa"/>
            <w:tcBorders>
              <w:top w:val="single" w:sz="4" w:space="0" w:color="BFBFBF" w:themeColor="background1" w:themeShade="BF"/>
              <w:left w:val="nil"/>
              <w:bottom w:val="nil"/>
              <w:right w:val="nil"/>
            </w:tcBorders>
            <w:shd w:val="clear" w:color="auto" w:fill="FFFFFF" w:themeFill="background1"/>
            <w:vAlign w:val="center"/>
          </w:tcPr>
          <w:p w:rsidR="004E686A" w:rsidRPr="00DB2EBC" w:rsidRDefault="00482857" w:rsidP="00482857">
            <w:pPr>
              <w:rPr>
                <w:color w:val="FF0000"/>
                <w:sz w:val="32"/>
              </w:rPr>
            </w:pPr>
            <w:r>
              <w:rPr>
                <w:b/>
                <w:sz w:val="52"/>
              </w:rPr>
              <w:t>Coca-Cola İçecek</w:t>
            </w:r>
          </w:p>
        </w:tc>
        <w:tc>
          <w:tcPr>
            <w:tcW w:w="284" w:type="dxa"/>
            <w:tcBorders>
              <w:top w:val="single" w:sz="4" w:space="0" w:color="BFBFBF" w:themeColor="background1" w:themeShade="BF"/>
              <w:left w:val="nil"/>
              <w:bottom w:val="nil"/>
              <w:right w:val="nil"/>
            </w:tcBorders>
            <w:shd w:val="clear" w:color="auto" w:fill="FFFFFF" w:themeFill="background1"/>
          </w:tcPr>
          <w:p w:rsidR="004E686A" w:rsidRPr="00973C4E" w:rsidRDefault="004E686A" w:rsidP="004E686A">
            <w:pPr>
              <w:jc w:val="both"/>
              <w:rPr>
                <w:color w:val="FF0000"/>
                <w:sz w:val="32"/>
                <w:lang w:val="en-GB"/>
              </w:rPr>
            </w:pPr>
          </w:p>
        </w:tc>
        <w:tc>
          <w:tcPr>
            <w:tcW w:w="4394" w:type="dxa"/>
            <w:tcBorders>
              <w:top w:val="single" w:sz="4" w:space="0" w:color="BFBFBF" w:themeColor="background1" w:themeShade="BF"/>
              <w:left w:val="nil"/>
              <w:bottom w:val="nil"/>
              <w:right w:val="nil"/>
            </w:tcBorders>
            <w:shd w:val="clear" w:color="auto" w:fill="auto"/>
          </w:tcPr>
          <w:p w:rsidR="004E686A" w:rsidRPr="004A1625" w:rsidRDefault="00500720" w:rsidP="004E686A">
            <w:pPr>
              <w:autoSpaceDE w:val="0"/>
              <w:autoSpaceDN w:val="0"/>
              <w:adjustRightInd w:val="0"/>
              <w:spacing w:before="240"/>
              <w:ind w:right="-105"/>
              <w:jc w:val="right"/>
              <w:rPr>
                <w:rFonts w:ascii="Calibri" w:hAnsi="Calibri" w:cs="Calibri"/>
                <w:color w:val="1E1E1C"/>
                <w:sz w:val="17"/>
                <w:szCs w:val="17"/>
                <w:lang w:val="en-GB"/>
              </w:rPr>
            </w:pPr>
            <w:r>
              <w:rPr>
                <w:color w:val="FF0000"/>
                <w:sz w:val="32"/>
              </w:rPr>
              <w:t>Endeksin Üzerinde Getiri</w:t>
            </w:r>
            <w:r w:rsidR="004E686A" w:rsidRPr="004A1625">
              <w:rPr>
                <w:color w:val="FF0000"/>
                <w:sz w:val="32"/>
                <w:lang w:val="en-GB"/>
              </w:rPr>
              <w:br/>
            </w:r>
            <w:r w:rsidR="00DB2EBC" w:rsidRPr="00DB2EBC">
              <w:rPr>
                <w:rFonts w:ascii="Calibri" w:hAnsi="Calibri" w:cs="Calibri"/>
                <w:color w:val="1E1E1C"/>
                <w:sz w:val="17"/>
                <w:szCs w:val="17"/>
              </w:rPr>
              <w:t>Cari Fiyat</w:t>
            </w:r>
            <w:r w:rsidR="004E686A" w:rsidRPr="004A1625">
              <w:rPr>
                <w:rFonts w:ascii="Calibri" w:hAnsi="Calibri" w:cs="Calibri"/>
                <w:color w:val="1E1E1C"/>
                <w:sz w:val="17"/>
                <w:szCs w:val="17"/>
                <w:lang w:val="en-GB"/>
              </w:rPr>
              <w:t xml:space="preserve">: </w:t>
            </w:r>
            <w:r w:rsidR="00FA02B3">
              <w:rPr>
                <w:rFonts w:ascii="Calibri" w:hAnsi="Calibri" w:cs="Calibri"/>
                <w:color w:val="1E1E1C"/>
                <w:sz w:val="17"/>
                <w:szCs w:val="17"/>
                <w:lang w:val="en-GB"/>
              </w:rPr>
              <w:t>154.2</w:t>
            </w:r>
            <w:r w:rsidR="00DB2EBC" w:rsidRPr="00F60BE7">
              <w:rPr>
                <w:rFonts w:ascii="Calibri" w:hAnsi="Calibri" w:cs="Calibri"/>
                <w:color w:val="1E1E1C"/>
                <w:sz w:val="17"/>
                <w:szCs w:val="17"/>
                <w:lang w:val="en-GB"/>
              </w:rPr>
              <w:t>TL</w:t>
            </w:r>
          </w:p>
          <w:p w:rsidR="004E686A" w:rsidRPr="004A1625" w:rsidRDefault="004E686A" w:rsidP="00482857">
            <w:pPr>
              <w:spacing w:after="60"/>
              <w:ind w:right="-105"/>
              <w:jc w:val="center"/>
              <w:rPr>
                <w:color w:val="FF0000"/>
                <w:sz w:val="32"/>
                <w:lang w:val="en-GB"/>
              </w:rPr>
            </w:pPr>
            <w:r w:rsidRPr="004A1625">
              <w:rPr>
                <w:rFonts w:ascii="Calibri" w:hAnsi="Calibri" w:cs="Calibri"/>
                <w:color w:val="1E1E1C"/>
                <w:sz w:val="17"/>
                <w:szCs w:val="17"/>
                <w:lang w:val="en-GB"/>
              </w:rPr>
              <w:t xml:space="preserve">                                  </w:t>
            </w:r>
            <w:r w:rsidR="00134552">
              <w:rPr>
                <w:rFonts w:ascii="Calibri" w:hAnsi="Calibri" w:cs="Calibri"/>
                <w:color w:val="1E1E1C"/>
                <w:sz w:val="17"/>
                <w:szCs w:val="17"/>
                <w:lang w:val="en-GB"/>
              </w:rPr>
              <w:t xml:space="preserve">              </w:t>
            </w:r>
            <w:r w:rsidR="00DF1F55">
              <w:rPr>
                <w:rFonts w:ascii="Calibri" w:hAnsi="Calibri" w:cs="Calibri"/>
                <w:color w:val="1E1E1C"/>
                <w:sz w:val="17"/>
                <w:szCs w:val="17"/>
                <w:lang w:val="en-GB"/>
              </w:rPr>
              <w:t xml:space="preserve">            </w:t>
            </w:r>
            <w:r w:rsidR="00FF7D31">
              <w:rPr>
                <w:rFonts w:ascii="Calibri" w:hAnsi="Calibri" w:cs="Calibri"/>
                <w:color w:val="1E1E1C"/>
                <w:sz w:val="17"/>
                <w:szCs w:val="17"/>
                <w:lang w:val="en-GB"/>
              </w:rPr>
              <w:t xml:space="preserve"> </w:t>
            </w:r>
            <w:r w:rsidR="00D31746">
              <w:rPr>
                <w:rFonts w:ascii="Calibri" w:hAnsi="Calibri" w:cs="Calibri"/>
                <w:color w:val="1E1E1C"/>
                <w:sz w:val="17"/>
                <w:szCs w:val="17"/>
                <w:lang w:val="en-GB"/>
              </w:rPr>
              <w:t xml:space="preserve"> </w:t>
            </w:r>
            <w:r w:rsidR="00482857">
              <w:rPr>
                <w:rFonts w:ascii="Calibri" w:hAnsi="Calibri" w:cs="Calibri"/>
                <w:color w:val="1E1E1C"/>
                <w:sz w:val="17"/>
                <w:szCs w:val="17"/>
                <w:lang w:val="en-GB"/>
              </w:rPr>
              <w:t xml:space="preserve">          </w:t>
            </w:r>
            <w:r w:rsidR="00B80D2B">
              <w:rPr>
                <w:rFonts w:ascii="Calibri" w:hAnsi="Calibri" w:cs="Calibri"/>
                <w:color w:val="1E1E1C"/>
                <w:sz w:val="17"/>
                <w:szCs w:val="17"/>
              </w:rPr>
              <w:t xml:space="preserve">12 Aylık </w:t>
            </w:r>
            <w:r w:rsidR="00DB2EBC" w:rsidRPr="00DB2EBC">
              <w:rPr>
                <w:rFonts w:ascii="Calibri" w:hAnsi="Calibri" w:cs="Calibri"/>
                <w:color w:val="1E1E1C"/>
                <w:sz w:val="17"/>
                <w:szCs w:val="17"/>
              </w:rPr>
              <w:t>Hedef</w:t>
            </w:r>
            <w:r w:rsidR="00181255">
              <w:rPr>
                <w:rFonts w:ascii="Calibri" w:hAnsi="Calibri" w:cs="Calibri"/>
                <w:color w:val="1E1E1C"/>
                <w:sz w:val="17"/>
                <w:szCs w:val="17"/>
                <w:lang w:val="en-GB"/>
              </w:rPr>
              <w:t xml:space="preserve">: </w:t>
            </w:r>
            <w:r w:rsidR="00FA02B3">
              <w:rPr>
                <w:rFonts w:ascii="Calibri" w:hAnsi="Calibri" w:cs="Calibri"/>
                <w:color w:val="1E1E1C"/>
                <w:sz w:val="17"/>
                <w:szCs w:val="17"/>
                <w:lang w:val="en-GB"/>
              </w:rPr>
              <w:t>205</w:t>
            </w:r>
            <w:r w:rsidR="00482857">
              <w:rPr>
                <w:rFonts w:ascii="Calibri" w:hAnsi="Calibri" w:cs="Calibri"/>
                <w:color w:val="1E1E1C"/>
                <w:sz w:val="17"/>
                <w:szCs w:val="17"/>
                <w:lang w:val="en-GB"/>
              </w:rPr>
              <w:t>TL</w:t>
            </w:r>
          </w:p>
        </w:tc>
      </w:tr>
      <w:tr w:rsidR="004E686A" w:rsidRPr="00973C4E" w:rsidTr="00E72405">
        <w:trPr>
          <w:trHeight w:val="844"/>
        </w:trPr>
        <w:tc>
          <w:tcPr>
            <w:tcW w:w="5954" w:type="dxa"/>
            <w:tcBorders>
              <w:top w:val="nil"/>
              <w:left w:val="nil"/>
              <w:bottom w:val="single" w:sz="4" w:space="0" w:color="BFBFBF" w:themeColor="background1" w:themeShade="BF"/>
              <w:right w:val="nil"/>
            </w:tcBorders>
            <w:shd w:val="clear" w:color="auto" w:fill="FFFFFF" w:themeFill="background1"/>
            <w:vAlign w:val="center"/>
          </w:tcPr>
          <w:p w:rsidR="004E686A" w:rsidRPr="0035235A" w:rsidRDefault="00FA02B3" w:rsidP="00C01BE5">
            <w:pPr>
              <w:rPr>
                <w:color w:val="FF0000"/>
                <w:sz w:val="32"/>
              </w:rPr>
            </w:pPr>
            <w:r>
              <w:rPr>
                <w:color w:val="FF0000"/>
                <w:sz w:val="32"/>
              </w:rPr>
              <w:t>2</w:t>
            </w:r>
            <w:r w:rsidR="00C01BE5">
              <w:rPr>
                <w:color w:val="FF0000"/>
                <w:sz w:val="32"/>
              </w:rPr>
              <w:t>Ç</w:t>
            </w:r>
            <w:r w:rsidR="00BA3370" w:rsidRPr="0035235A">
              <w:rPr>
                <w:color w:val="FF0000"/>
                <w:sz w:val="32"/>
              </w:rPr>
              <w:t>2</w:t>
            </w:r>
            <w:r w:rsidR="00855272">
              <w:rPr>
                <w:color w:val="FF0000"/>
                <w:sz w:val="32"/>
              </w:rPr>
              <w:t>2</w:t>
            </w:r>
            <w:r w:rsidR="0035235A">
              <w:rPr>
                <w:color w:val="FF0000"/>
                <w:sz w:val="32"/>
              </w:rPr>
              <w:t xml:space="preserve"> Bilanço Değerlendirmesi</w:t>
            </w:r>
            <w:r w:rsidR="00855272">
              <w:rPr>
                <w:color w:val="FF0000"/>
                <w:sz w:val="32"/>
              </w:rPr>
              <w:t xml:space="preserve"> ve Hedef Değer Revizyonu</w:t>
            </w:r>
          </w:p>
        </w:tc>
        <w:tc>
          <w:tcPr>
            <w:tcW w:w="284" w:type="dxa"/>
            <w:tcBorders>
              <w:top w:val="nil"/>
              <w:left w:val="nil"/>
              <w:bottom w:val="single" w:sz="4" w:space="0" w:color="BFBFBF" w:themeColor="background1" w:themeShade="BF"/>
              <w:right w:val="nil"/>
            </w:tcBorders>
            <w:shd w:val="clear" w:color="auto" w:fill="FFFFFF" w:themeFill="background1"/>
          </w:tcPr>
          <w:p w:rsidR="004E686A" w:rsidRPr="00973C4E" w:rsidRDefault="004E686A" w:rsidP="004E686A">
            <w:pPr>
              <w:jc w:val="both"/>
              <w:rPr>
                <w:color w:val="FF0000"/>
                <w:sz w:val="32"/>
                <w:lang w:val="en-GB"/>
              </w:rPr>
            </w:pPr>
          </w:p>
        </w:tc>
        <w:tc>
          <w:tcPr>
            <w:tcW w:w="4394" w:type="dxa"/>
            <w:tcBorders>
              <w:top w:val="nil"/>
              <w:left w:val="nil"/>
              <w:bottom w:val="single" w:sz="4" w:space="0" w:color="BFBFBF" w:themeColor="background1" w:themeShade="BF"/>
              <w:right w:val="nil"/>
            </w:tcBorders>
            <w:shd w:val="clear" w:color="auto" w:fill="FFFFFF" w:themeFill="background1"/>
          </w:tcPr>
          <w:p w:rsidR="00B85D47" w:rsidRPr="00DB2EBC" w:rsidRDefault="004E686A" w:rsidP="00B85D47">
            <w:pPr>
              <w:autoSpaceDE w:val="0"/>
              <w:autoSpaceDN w:val="0"/>
              <w:adjustRightInd w:val="0"/>
              <w:spacing w:before="60"/>
              <w:ind w:right="-105"/>
              <w:jc w:val="right"/>
              <w:rPr>
                <w:rFonts w:eastAsia="Calibri-Bold" w:cstheme="minorHAnsi"/>
                <w:bCs/>
                <w:color w:val="1E1E1C"/>
                <w:sz w:val="17"/>
                <w:szCs w:val="17"/>
              </w:rPr>
            </w:pPr>
            <w:r w:rsidRPr="00DB2EBC">
              <w:rPr>
                <w:rFonts w:eastAsia="Calibri-Bold" w:cstheme="minorHAnsi"/>
                <w:bCs/>
                <w:color w:val="FF0000"/>
                <w:sz w:val="17"/>
                <w:szCs w:val="17"/>
              </w:rPr>
              <w:t>Anal</w:t>
            </w:r>
            <w:r w:rsidR="00DB2EBC" w:rsidRPr="00DB2EBC">
              <w:rPr>
                <w:rFonts w:eastAsia="Calibri-Bold" w:cstheme="minorHAnsi"/>
                <w:bCs/>
                <w:color w:val="FF0000"/>
                <w:sz w:val="17"/>
                <w:szCs w:val="17"/>
              </w:rPr>
              <w:t>i</w:t>
            </w:r>
            <w:r w:rsidRPr="00DB2EBC">
              <w:rPr>
                <w:rFonts w:eastAsia="Calibri-Bold" w:cstheme="minorHAnsi"/>
                <w:bCs/>
                <w:color w:val="FF0000"/>
                <w:sz w:val="17"/>
                <w:szCs w:val="17"/>
              </w:rPr>
              <w:t>st</w:t>
            </w:r>
            <w:r w:rsidR="00B80D2B">
              <w:rPr>
                <w:rFonts w:eastAsia="Calibri-Bold" w:cstheme="minorHAnsi"/>
                <w:bCs/>
                <w:color w:val="FF0000"/>
                <w:sz w:val="17"/>
                <w:szCs w:val="17"/>
              </w:rPr>
              <w:t xml:space="preserve">: </w:t>
            </w:r>
            <w:r w:rsidR="00B80D2B">
              <w:rPr>
                <w:rFonts w:eastAsia="Calibri-Bold" w:cstheme="minorHAnsi"/>
                <w:bCs/>
                <w:color w:val="1E1E1C"/>
                <w:sz w:val="17"/>
                <w:szCs w:val="17"/>
              </w:rPr>
              <w:t>Mustafa</w:t>
            </w:r>
            <w:r w:rsidR="00F92FC5">
              <w:rPr>
                <w:rFonts w:eastAsia="Calibri-Bold" w:cstheme="minorHAnsi"/>
                <w:bCs/>
                <w:color w:val="1E1E1C"/>
                <w:sz w:val="17"/>
                <w:szCs w:val="17"/>
              </w:rPr>
              <w:t xml:space="preserve"> </w:t>
            </w:r>
            <w:r w:rsidR="00B80D2B">
              <w:rPr>
                <w:rFonts w:eastAsia="Calibri-Bold" w:cstheme="minorHAnsi"/>
                <w:bCs/>
                <w:color w:val="1E1E1C"/>
                <w:sz w:val="17"/>
                <w:szCs w:val="17"/>
              </w:rPr>
              <w:t>Küçükmeral, CFA</w:t>
            </w:r>
          </w:p>
          <w:p w:rsidR="004E686A" w:rsidRPr="003B7AB1" w:rsidRDefault="00196E8E" w:rsidP="00B80D2B">
            <w:pPr>
              <w:spacing w:after="60"/>
              <w:ind w:right="-105"/>
              <w:jc w:val="right"/>
              <w:rPr>
                <w:color w:val="FF0000"/>
                <w:sz w:val="32"/>
                <w:lang w:val="fr-FR"/>
              </w:rPr>
            </w:pPr>
            <w:hyperlink r:id="rId8" w:history="1">
              <w:r w:rsidR="00B80D2B" w:rsidRPr="00E94D8A">
                <w:rPr>
                  <w:rStyle w:val="Hyperlink"/>
                  <w:rFonts w:eastAsia="Calibri-Bold" w:cstheme="minorHAnsi"/>
                  <w:sz w:val="17"/>
                  <w:szCs w:val="17"/>
                  <w:lang w:val="fr-FR"/>
                </w:rPr>
                <w:t>Mustafa.Kucukmeral@akyatirim.com.tr</w:t>
              </w:r>
            </w:hyperlink>
          </w:p>
        </w:tc>
      </w:tr>
    </w:tbl>
    <w:p w:rsidR="000765C8" w:rsidRPr="00C254B1" w:rsidRDefault="000765C8" w:rsidP="00A30E14">
      <w:pPr>
        <w:ind w:left="-567"/>
        <w:rPr>
          <w:lang w:val="fr-FR"/>
        </w:rPr>
        <w:sectPr w:rsidR="000765C8" w:rsidRPr="00C254B1" w:rsidSect="00EF4DA2">
          <w:headerReference w:type="even" r:id="rId9"/>
          <w:headerReference w:type="default" r:id="rId10"/>
          <w:footerReference w:type="even" r:id="rId11"/>
          <w:footerReference w:type="default" r:id="rId12"/>
          <w:headerReference w:type="first" r:id="rId13"/>
          <w:footerReference w:type="first" r:id="rId14"/>
          <w:type w:val="continuous"/>
          <w:pgSz w:w="11906" w:h="16838"/>
          <w:pgMar w:top="1247" w:right="1276" w:bottom="851" w:left="1276" w:header="794" w:footer="170" w:gutter="0"/>
          <w:cols w:space="708"/>
          <w:titlePg/>
          <w:docGrid w:linePitch="360"/>
        </w:sectPr>
      </w:pPr>
    </w:p>
    <w:p w:rsidR="00E72405" w:rsidRPr="00B205AC" w:rsidRDefault="00E72405" w:rsidP="00B205AC">
      <w:pPr>
        <w:spacing w:before="240" w:after="0" w:line="240" w:lineRule="auto"/>
        <w:jc w:val="both"/>
        <w:rPr>
          <w:rFonts w:ascii="Calibri" w:eastAsia="Calibri" w:hAnsi="Calibri" w:cs="Times New Roman"/>
          <w:sz w:val="2"/>
          <w:szCs w:val="4"/>
          <w:lang w:val="fr-FR"/>
        </w:rPr>
      </w:pPr>
    </w:p>
    <w:tbl>
      <w:tblPr>
        <w:tblW w:w="1063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
        <w:gridCol w:w="861"/>
        <w:gridCol w:w="873"/>
        <w:gridCol w:w="804"/>
        <w:gridCol w:w="3544"/>
        <w:gridCol w:w="3544"/>
      </w:tblGrid>
      <w:tr w:rsidR="00E72405" w:rsidRPr="00973C4E" w:rsidTr="001E1ABE">
        <w:trPr>
          <w:cantSplit/>
          <w:trHeight w:val="478"/>
        </w:trPr>
        <w:tc>
          <w:tcPr>
            <w:tcW w:w="3544" w:type="dxa"/>
            <w:gridSpan w:val="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FFFFF"/>
            <w:vAlign w:val="center"/>
          </w:tcPr>
          <w:p w:rsidR="00E72405" w:rsidRPr="0035235A" w:rsidRDefault="00FA02B3" w:rsidP="00C01BE5">
            <w:pPr>
              <w:jc w:val="center"/>
              <w:rPr>
                <w:rFonts w:ascii="Calibri" w:hAnsi="Calibri"/>
                <w:b/>
                <w:sz w:val="20"/>
                <w:szCs w:val="20"/>
              </w:rPr>
            </w:pPr>
            <w:r>
              <w:rPr>
                <w:rFonts w:ascii="Calibri" w:hAnsi="Calibri"/>
                <w:b/>
                <w:sz w:val="20"/>
                <w:szCs w:val="20"/>
                <w:u w:val="single"/>
              </w:rPr>
              <w:t>2</w:t>
            </w:r>
            <w:r w:rsidR="0035235A" w:rsidRPr="0035235A">
              <w:rPr>
                <w:rFonts w:ascii="Calibri" w:hAnsi="Calibri"/>
                <w:b/>
                <w:sz w:val="20"/>
                <w:szCs w:val="20"/>
                <w:u w:val="single"/>
              </w:rPr>
              <w:t>Ç2</w:t>
            </w:r>
            <w:r w:rsidR="00855272">
              <w:rPr>
                <w:rFonts w:ascii="Calibri" w:hAnsi="Calibri"/>
                <w:b/>
                <w:sz w:val="20"/>
                <w:szCs w:val="20"/>
                <w:u w:val="single"/>
              </w:rPr>
              <w:t>2</w:t>
            </w:r>
            <w:r w:rsidR="00E72405" w:rsidRPr="0035235A">
              <w:rPr>
                <w:rFonts w:ascii="Calibri" w:hAnsi="Calibri"/>
                <w:b/>
                <w:sz w:val="20"/>
                <w:szCs w:val="20"/>
                <w:u w:val="single"/>
              </w:rPr>
              <w:t xml:space="preserve"> </w:t>
            </w:r>
            <w:r w:rsidR="0035235A" w:rsidRPr="0035235A">
              <w:rPr>
                <w:rFonts w:ascii="Calibri" w:hAnsi="Calibri"/>
                <w:b/>
                <w:sz w:val="20"/>
                <w:szCs w:val="20"/>
                <w:u w:val="single"/>
              </w:rPr>
              <w:t>beklenti – gerçekleşme</w:t>
            </w:r>
          </w:p>
        </w:tc>
        <w:tc>
          <w:tcPr>
            <w:tcW w:w="354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FFFFF"/>
            <w:vAlign w:val="center"/>
          </w:tcPr>
          <w:p w:rsidR="00E72405" w:rsidRPr="001A0284" w:rsidRDefault="001A0284" w:rsidP="001A0284">
            <w:pPr>
              <w:jc w:val="center"/>
              <w:rPr>
                <w:rFonts w:ascii="Calibri" w:hAnsi="Calibri"/>
                <w:b/>
                <w:sz w:val="20"/>
                <w:szCs w:val="20"/>
                <w:u w:val="single"/>
              </w:rPr>
            </w:pPr>
            <w:r w:rsidRPr="001A0284">
              <w:rPr>
                <w:rFonts w:ascii="Calibri" w:hAnsi="Calibri"/>
                <w:b/>
                <w:sz w:val="20"/>
                <w:szCs w:val="20"/>
                <w:u w:val="single"/>
              </w:rPr>
              <w:t>Hisse Performansı</w:t>
            </w:r>
          </w:p>
        </w:tc>
        <w:tc>
          <w:tcPr>
            <w:tcW w:w="354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FFFFF"/>
            <w:vAlign w:val="center"/>
          </w:tcPr>
          <w:p w:rsidR="00E72405" w:rsidRPr="001A0284" w:rsidRDefault="00E72405" w:rsidP="00E72405">
            <w:pPr>
              <w:jc w:val="center"/>
              <w:rPr>
                <w:rFonts w:ascii="Calibri" w:hAnsi="Calibri"/>
                <w:b/>
                <w:sz w:val="20"/>
                <w:szCs w:val="20"/>
                <w:u w:val="single"/>
              </w:rPr>
            </w:pPr>
            <w:r w:rsidRPr="001A0284">
              <w:rPr>
                <w:rFonts w:ascii="Calibri" w:hAnsi="Calibri"/>
                <w:b/>
                <w:sz w:val="20"/>
                <w:szCs w:val="20"/>
                <w:u w:val="single"/>
              </w:rPr>
              <w:t>M</w:t>
            </w:r>
            <w:r w:rsidR="001A0284" w:rsidRPr="001A0284">
              <w:rPr>
                <w:rFonts w:ascii="Calibri" w:hAnsi="Calibri"/>
                <w:b/>
                <w:sz w:val="20"/>
                <w:szCs w:val="20"/>
                <w:u w:val="single"/>
              </w:rPr>
              <w:t>arjlar</w:t>
            </w:r>
          </w:p>
        </w:tc>
      </w:tr>
      <w:tr w:rsidR="00E72405" w:rsidRPr="00973C4E" w:rsidTr="00280E68">
        <w:tblPrEx>
          <w:tblCellMar>
            <w:left w:w="70" w:type="dxa"/>
            <w:right w:w="70" w:type="dxa"/>
          </w:tblCellMar>
        </w:tblPrEx>
        <w:trPr>
          <w:cantSplit/>
          <w:trHeight w:val="478"/>
        </w:trPr>
        <w:tc>
          <w:tcPr>
            <w:tcW w:w="1006" w:type="dxa"/>
            <w:tcBorders>
              <w:top w:val="nil"/>
              <w:left w:val="single" w:sz="4" w:space="0" w:color="BFBFBF" w:themeColor="background1" w:themeShade="BF"/>
              <w:bottom w:val="nil"/>
              <w:right w:val="nil"/>
            </w:tcBorders>
            <w:vAlign w:val="center"/>
          </w:tcPr>
          <w:p w:rsidR="00E72405" w:rsidRPr="0035235A" w:rsidRDefault="0035235A" w:rsidP="009C52FF">
            <w:pPr>
              <w:rPr>
                <w:rFonts w:ascii="Calibri" w:hAnsi="Calibri"/>
                <w:b/>
                <w:sz w:val="18"/>
                <w:szCs w:val="18"/>
                <w:u w:val="single"/>
              </w:rPr>
            </w:pPr>
            <w:r>
              <w:rPr>
                <w:rFonts w:ascii="Calibri" w:hAnsi="Calibri"/>
                <w:b/>
                <w:sz w:val="18"/>
                <w:szCs w:val="18"/>
                <w:u w:val="single"/>
              </w:rPr>
              <w:t>m</w:t>
            </w:r>
            <w:r w:rsidRPr="0035235A">
              <w:rPr>
                <w:rFonts w:ascii="Calibri" w:hAnsi="Calibri"/>
                <w:b/>
                <w:sz w:val="18"/>
                <w:szCs w:val="18"/>
                <w:u w:val="single"/>
              </w:rPr>
              <w:t>ilyon TL</w:t>
            </w:r>
          </w:p>
        </w:tc>
        <w:tc>
          <w:tcPr>
            <w:tcW w:w="861" w:type="dxa"/>
            <w:tcBorders>
              <w:top w:val="nil"/>
              <w:left w:val="nil"/>
              <w:bottom w:val="nil"/>
              <w:right w:val="nil"/>
            </w:tcBorders>
            <w:vAlign w:val="center"/>
          </w:tcPr>
          <w:p w:rsidR="00E72405" w:rsidRPr="0035235A" w:rsidRDefault="0035235A" w:rsidP="00E72405">
            <w:pPr>
              <w:jc w:val="center"/>
              <w:rPr>
                <w:rFonts w:ascii="Calibri" w:hAnsi="Calibri"/>
                <w:b/>
                <w:sz w:val="18"/>
                <w:szCs w:val="18"/>
                <w:u w:val="single"/>
              </w:rPr>
            </w:pPr>
            <w:r>
              <w:rPr>
                <w:rFonts w:ascii="Calibri" w:hAnsi="Calibri"/>
                <w:b/>
                <w:sz w:val="18"/>
                <w:szCs w:val="18"/>
                <w:u w:val="single"/>
              </w:rPr>
              <w:t>Gerçek</w:t>
            </w:r>
          </w:p>
        </w:tc>
        <w:tc>
          <w:tcPr>
            <w:tcW w:w="873" w:type="dxa"/>
            <w:tcBorders>
              <w:top w:val="nil"/>
              <w:left w:val="nil"/>
              <w:bottom w:val="nil"/>
              <w:right w:val="nil"/>
            </w:tcBorders>
            <w:vAlign w:val="center"/>
          </w:tcPr>
          <w:p w:rsidR="00E72405" w:rsidRPr="0035235A" w:rsidRDefault="0035235A" w:rsidP="0035235A">
            <w:pPr>
              <w:jc w:val="center"/>
              <w:rPr>
                <w:rFonts w:ascii="Calibri" w:hAnsi="Calibri"/>
                <w:b/>
                <w:sz w:val="18"/>
                <w:szCs w:val="18"/>
                <w:u w:val="single"/>
              </w:rPr>
            </w:pPr>
            <w:r>
              <w:rPr>
                <w:rFonts w:ascii="Calibri" w:hAnsi="Calibri"/>
                <w:b/>
                <w:sz w:val="18"/>
                <w:szCs w:val="18"/>
                <w:u w:val="single"/>
              </w:rPr>
              <w:t>Anket</w:t>
            </w:r>
          </w:p>
        </w:tc>
        <w:tc>
          <w:tcPr>
            <w:tcW w:w="804" w:type="dxa"/>
            <w:tcBorders>
              <w:top w:val="nil"/>
              <w:left w:val="nil"/>
              <w:bottom w:val="nil"/>
              <w:right w:val="single" w:sz="4" w:space="0" w:color="BFBFBF" w:themeColor="background1" w:themeShade="BF"/>
            </w:tcBorders>
            <w:vAlign w:val="center"/>
          </w:tcPr>
          <w:p w:rsidR="00E72405" w:rsidRPr="0035235A" w:rsidRDefault="00E72405" w:rsidP="00E72405">
            <w:pPr>
              <w:jc w:val="center"/>
              <w:rPr>
                <w:rFonts w:ascii="Calibri" w:hAnsi="Calibri"/>
                <w:b/>
                <w:sz w:val="18"/>
                <w:szCs w:val="18"/>
                <w:u w:val="single"/>
              </w:rPr>
            </w:pPr>
            <w:r w:rsidRPr="0035235A">
              <w:rPr>
                <w:rFonts w:ascii="Calibri" w:hAnsi="Calibri"/>
                <w:b/>
                <w:sz w:val="18"/>
                <w:szCs w:val="18"/>
                <w:u w:val="single"/>
              </w:rPr>
              <w:t>Ak</w:t>
            </w:r>
            <w:r w:rsidR="0035235A">
              <w:rPr>
                <w:rFonts w:ascii="Calibri" w:hAnsi="Calibri"/>
                <w:b/>
                <w:sz w:val="18"/>
                <w:szCs w:val="18"/>
                <w:u w:val="single"/>
              </w:rPr>
              <w:t xml:space="preserve"> Yat.</w:t>
            </w:r>
          </w:p>
        </w:tc>
        <w:tc>
          <w:tcPr>
            <w:tcW w:w="3544" w:type="dxa"/>
            <w:vMerge w:val="restar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2405" w:rsidRPr="00973C4E" w:rsidRDefault="00280E68" w:rsidP="00E72405">
            <w:pPr>
              <w:jc w:val="center"/>
              <w:rPr>
                <w:rFonts w:ascii="Verdana" w:hAnsi="Verdana"/>
                <w:b/>
                <w:sz w:val="16"/>
                <w:szCs w:val="16"/>
                <w:u w:val="single"/>
                <w:lang w:val="en-GB"/>
              </w:rPr>
            </w:pPr>
            <w:r>
              <w:rPr>
                <w:noProof/>
                <w:lang w:eastAsia="tr-TR"/>
              </w:rPr>
              <w:drawing>
                <wp:inline distT="0" distB="0" distL="0" distR="0" wp14:anchorId="0C1FA385" wp14:editId="16740621">
                  <wp:extent cx="2161540" cy="13716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3544" w:type="dxa"/>
            <w:vMerge w:val="restart"/>
            <w:tcBorders>
              <w:top w:val="nil"/>
              <w:left w:val="single" w:sz="4" w:space="0" w:color="BFBFBF" w:themeColor="background1" w:themeShade="BF"/>
              <w:bottom w:val="nil"/>
              <w:right w:val="single" w:sz="4" w:space="0" w:color="BFBFBF" w:themeColor="background1" w:themeShade="BF"/>
            </w:tcBorders>
            <w:vAlign w:val="center"/>
          </w:tcPr>
          <w:p w:rsidR="00E72405" w:rsidRPr="00973C4E" w:rsidRDefault="00280E68" w:rsidP="00E72405">
            <w:pPr>
              <w:jc w:val="center"/>
              <w:rPr>
                <w:rFonts w:ascii="Verdana" w:hAnsi="Verdana"/>
                <w:b/>
                <w:sz w:val="16"/>
                <w:szCs w:val="16"/>
                <w:u w:val="single"/>
                <w:lang w:val="en-GB"/>
              </w:rPr>
            </w:pPr>
            <w:r>
              <w:rPr>
                <w:noProof/>
                <w:lang w:eastAsia="tr-TR"/>
              </w:rPr>
              <w:drawing>
                <wp:inline distT="0" distB="0" distL="0" distR="0" wp14:anchorId="0D093ED8" wp14:editId="254C2DBC">
                  <wp:extent cx="2161540" cy="137922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D31746">
              <w:rPr>
                <w:noProof/>
                <w:lang w:eastAsia="tr-TR"/>
              </w:rPr>
              <w:t xml:space="preserve"> </w:t>
            </w:r>
          </w:p>
        </w:tc>
      </w:tr>
      <w:tr w:rsidR="00280E68" w:rsidRPr="00973C4E" w:rsidTr="00B1098C">
        <w:trPr>
          <w:cantSplit/>
          <w:trHeight w:val="478"/>
        </w:trPr>
        <w:tc>
          <w:tcPr>
            <w:tcW w:w="1006" w:type="dxa"/>
            <w:tcBorders>
              <w:top w:val="nil"/>
              <w:left w:val="single" w:sz="4" w:space="0" w:color="BFBFBF" w:themeColor="background1" w:themeShade="BF"/>
              <w:bottom w:val="nil"/>
              <w:right w:val="nil"/>
            </w:tcBorders>
            <w:vAlign w:val="bottom"/>
          </w:tcPr>
          <w:p w:rsidR="00280E68" w:rsidRDefault="00280E68" w:rsidP="00280E68">
            <w:pPr>
              <w:spacing w:line="240" w:lineRule="auto"/>
              <w:rPr>
                <w:rFonts w:ascii="Calibri" w:hAnsi="Calibri" w:cs="Calibri"/>
                <w:b/>
                <w:bCs/>
                <w:sz w:val="18"/>
                <w:szCs w:val="18"/>
              </w:rPr>
            </w:pPr>
            <w:r>
              <w:rPr>
                <w:rFonts w:ascii="Calibri" w:hAnsi="Calibri" w:cs="Calibri"/>
                <w:b/>
                <w:bCs/>
                <w:sz w:val="18"/>
                <w:szCs w:val="18"/>
              </w:rPr>
              <w:t>Ciro</w:t>
            </w:r>
          </w:p>
        </w:tc>
        <w:tc>
          <w:tcPr>
            <w:tcW w:w="861" w:type="dxa"/>
            <w:tcBorders>
              <w:top w:val="nil"/>
              <w:left w:val="nil"/>
              <w:bottom w:val="nil"/>
              <w:right w:val="nil"/>
            </w:tcBorders>
            <w:shd w:val="clear" w:color="auto" w:fill="auto"/>
            <w:vAlign w:val="center"/>
          </w:tcPr>
          <w:p w:rsidR="00280E68" w:rsidRDefault="00280E68" w:rsidP="00280E68">
            <w:pPr>
              <w:jc w:val="center"/>
              <w:rPr>
                <w:rFonts w:ascii="Calibri" w:hAnsi="Calibri" w:cs="Calibri"/>
                <w:b/>
                <w:bCs/>
                <w:color w:val="000000"/>
                <w:sz w:val="18"/>
                <w:szCs w:val="18"/>
              </w:rPr>
            </w:pPr>
            <w:r>
              <w:rPr>
                <w:rFonts w:ascii="Calibri" w:hAnsi="Calibri" w:cs="Calibri"/>
                <w:b/>
                <w:bCs/>
                <w:color w:val="000000"/>
                <w:sz w:val="18"/>
                <w:szCs w:val="18"/>
              </w:rPr>
              <w:t>14,694</w:t>
            </w:r>
          </w:p>
        </w:tc>
        <w:tc>
          <w:tcPr>
            <w:tcW w:w="873" w:type="dxa"/>
            <w:tcBorders>
              <w:top w:val="nil"/>
              <w:left w:val="nil"/>
              <w:bottom w:val="nil"/>
              <w:right w:val="nil"/>
            </w:tcBorders>
            <w:shd w:val="clear" w:color="auto" w:fill="auto"/>
            <w:vAlign w:val="center"/>
          </w:tcPr>
          <w:p w:rsidR="00280E68" w:rsidRDefault="00280E68" w:rsidP="00280E68">
            <w:pPr>
              <w:jc w:val="center"/>
              <w:rPr>
                <w:rFonts w:ascii="Calibri" w:hAnsi="Calibri" w:cs="Calibri"/>
                <w:b/>
                <w:bCs/>
                <w:color w:val="000000"/>
                <w:sz w:val="18"/>
                <w:szCs w:val="18"/>
              </w:rPr>
            </w:pPr>
            <w:r>
              <w:rPr>
                <w:rFonts w:ascii="Calibri" w:hAnsi="Calibri" w:cs="Calibri"/>
                <w:b/>
                <w:bCs/>
                <w:color w:val="000000"/>
                <w:sz w:val="18"/>
                <w:szCs w:val="18"/>
              </w:rPr>
              <w:t>14,081</w:t>
            </w:r>
          </w:p>
        </w:tc>
        <w:tc>
          <w:tcPr>
            <w:tcW w:w="804" w:type="dxa"/>
            <w:tcBorders>
              <w:top w:val="nil"/>
              <w:left w:val="nil"/>
              <w:bottom w:val="nil"/>
              <w:right w:val="single" w:sz="8" w:space="0" w:color="BFBFBF"/>
            </w:tcBorders>
            <w:shd w:val="clear" w:color="auto" w:fill="auto"/>
            <w:vAlign w:val="center"/>
          </w:tcPr>
          <w:p w:rsidR="00280E68" w:rsidRDefault="00280E68" w:rsidP="00280E68">
            <w:pPr>
              <w:jc w:val="center"/>
              <w:rPr>
                <w:rFonts w:ascii="Calibri" w:hAnsi="Calibri" w:cs="Calibri"/>
                <w:b/>
                <w:bCs/>
                <w:color w:val="000000"/>
                <w:sz w:val="18"/>
                <w:szCs w:val="18"/>
              </w:rPr>
            </w:pPr>
            <w:r>
              <w:rPr>
                <w:rFonts w:ascii="Calibri" w:hAnsi="Calibri" w:cs="Calibri"/>
                <w:b/>
                <w:bCs/>
                <w:color w:val="000000"/>
                <w:sz w:val="18"/>
                <w:szCs w:val="18"/>
              </w:rPr>
              <w:t>14,650</w:t>
            </w:r>
          </w:p>
        </w:tc>
        <w:tc>
          <w:tcPr>
            <w:tcW w:w="3544" w:type="dxa"/>
            <w:vMerge/>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0E68" w:rsidRPr="00973C4E" w:rsidRDefault="00280E68" w:rsidP="00280E68">
            <w:pPr>
              <w:jc w:val="center"/>
              <w:rPr>
                <w:rFonts w:ascii="Palatino Linotype" w:hAnsi="Palatino Linotype"/>
                <w:sz w:val="20"/>
                <w:szCs w:val="20"/>
                <w:lang w:val="en-GB"/>
              </w:rPr>
            </w:pPr>
          </w:p>
        </w:tc>
        <w:tc>
          <w:tcPr>
            <w:tcW w:w="3544" w:type="dxa"/>
            <w:vMerge/>
            <w:tcBorders>
              <w:top w:val="nil"/>
              <w:left w:val="single" w:sz="4" w:space="0" w:color="BFBFBF" w:themeColor="background1" w:themeShade="BF"/>
              <w:bottom w:val="nil"/>
              <w:right w:val="single" w:sz="4" w:space="0" w:color="BFBFBF" w:themeColor="background1" w:themeShade="BF"/>
            </w:tcBorders>
            <w:vAlign w:val="center"/>
          </w:tcPr>
          <w:p w:rsidR="00280E68" w:rsidRPr="00973C4E" w:rsidRDefault="00280E68" w:rsidP="00280E68">
            <w:pPr>
              <w:jc w:val="center"/>
              <w:rPr>
                <w:rFonts w:ascii="Palatino Linotype" w:hAnsi="Palatino Linotype"/>
                <w:sz w:val="20"/>
                <w:szCs w:val="20"/>
                <w:lang w:val="en-GB"/>
              </w:rPr>
            </w:pPr>
          </w:p>
        </w:tc>
      </w:tr>
      <w:tr w:rsidR="00280E68" w:rsidRPr="00973C4E" w:rsidTr="00B1098C">
        <w:trPr>
          <w:cantSplit/>
          <w:trHeight w:val="478"/>
        </w:trPr>
        <w:tc>
          <w:tcPr>
            <w:tcW w:w="1006" w:type="dxa"/>
            <w:tcBorders>
              <w:top w:val="nil"/>
              <w:left w:val="single" w:sz="4" w:space="0" w:color="BFBFBF" w:themeColor="background1" w:themeShade="BF"/>
              <w:bottom w:val="nil"/>
              <w:right w:val="nil"/>
            </w:tcBorders>
            <w:vAlign w:val="bottom"/>
          </w:tcPr>
          <w:p w:rsidR="00280E68" w:rsidRDefault="00280E68" w:rsidP="00280E68">
            <w:pPr>
              <w:spacing w:line="240" w:lineRule="auto"/>
              <w:rPr>
                <w:rFonts w:ascii="Calibri" w:hAnsi="Calibri" w:cs="Calibri"/>
                <w:b/>
                <w:bCs/>
                <w:sz w:val="18"/>
                <w:szCs w:val="18"/>
              </w:rPr>
            </w:pPr>
            <w:r>
              <w:rPr>
                <w:rFonts w:ascii="Calibri" w:hAnsi="Calibri" w:cs="Calibri"/>
                <w:b/>
                <w:bCs/>
                <w:sz w:val="18"/>
                <w:szCs w:val="18"/>
              </w:rPr>
              <w:t>FAVÖK</w:t>
            </w:r>
          </w:p>
        </w:tc>
        <w:tc>
          <w:tcPr>
            <w:tcW w:w="861" w:type="dxa"/>
            <w:tcBorders>
              <w:top w:val="nil"/>
              <w:left w:val="nil"/>
              <w:bottom w:val="nil"/>
              <w:right w:val="nil"/>
            </w:tcBorders>
            <w:shd w:val="clear" w:color="auto" w:fill="auto"/>
            <w:vAlign w:val="center"/>
          </w:tcPr>
          <w:p w:rsidR="00280E68" w:rsidRDefault="00280E68" w:rsidP="00280E68">
            <w:pPr>
              <w:jc w:val="center"/>
              <w:rPr>
                <w:rFonts w:ascii="Calibri" w:hAnsi="Calibri" w:cs="Calibri"/>
                <w:b/>
                <w:bCs/>
                <w:color w:val="000000"/>
                <w:sz w:val="18"/>
                <w:szCs w:val="18"/>
              </w:rPr>
            </w:pPr>
            <w:r>
              <w:rPr>
                <w:rFonts w:ascii="Calibri" w:hAnsi="Calibri" w:cs="Calibri"/>
                <w:b/>
                <w:bCs/>
                <w:color w:val="000000"/>
                <w:sz w:val="18"/>
                <w:szCs w:val="18"/>
              </w:rPr>
              <w:t>2,830</w:t>
            </w:r>
          </w:p>
        </w:tc>
        <w:tc>
          <w:tcPr>
            <w:tcW w:w="873" w:type="dxa"/>
            <w:tcBorders>
              <w:top w:val="nil"/>
              <w:left w:val="nil"/>
              <w:bottom w:val="nil"/>
              <w:right w:val="nil"/>
            </w:tcBorders>
            <w:shd w:val="clear" w:color="auto" w:fill="auto"/>
            <w:vAlign w:val="center"/>
          </w:tcPr>
          <w:p w:rsidR="00280E68" w:rsidRDefault="00280E68" w:rsidP="00280E68">
            <w:pPr>
              <w:jc w:val="center"/>
              <w:rPr>
                <w:rFonts w:ascii="Calibri" w:hAnsi="Calibri" w:cs="Calibri"/>
                <w:b/>
                <w:bCs/>
                <w:color w:val="000000"/>
                <w:sz w:val="18"/>
                <w:szCs w:val="18"/>
              </w:rPr>
            </w:pPr>
            <w:r>
              <w:rPr>
                <w:rFonts w:ascii="Calibri" w:hAnsi="Calibri" w:cs="Calibri"/>
                <w:b/>
                <w:bCs/>
                <w:color w:val="000000"/>
                <w:sz w:val="18"/>
                <w:szCs w:val="18"/>
              </w:rPr>
              <w:t>2,896</w:t>
            </w:r>
          </w:p>
        </w:tc>
        <w:tc>
          <w:tcPr>
            <w:tcW w:w="804" w:type="dxa"/>
            <w:tcBorders>
              <w:top w:val="nil"/>
              <w:left w:val="nil"/>
              <w:bottom w:val="nil"/>
              <w:right w:val="single" w:sz="8" w:space="0" w:color="BFBFBF"/>
            </w:tcBorders>
            <w:shd w:val="clear" w:color="auto" w:fill="auto"/>
            <w:vAlign w:val="center"/>
          </w:tcPr>
          <w:p w:rsidR="00280E68" w:rsidRDefault="00280E68" w:rsidP="00280E68">
            <w:pPr>
              <w:jc w:val="center"/>
              <w:rPr>
                <w:rFonts w:ascii="Calibri" w:hAnsi="Calibri" w:cs="Calibri"/>
                <w:b/>
                <w:bCs/>
                <w:color w:val="000000"/>
                <w:sz w:val="18"/>
                <w:szCs w:val="18"/>
              </w:rPr>
            </w:pPr>
            <w:r>
              <w:rPr>
                <w:rFonts w:ascii="Calibri" w:hAnsi="Calibri" w:cs="Calibri"/>
                <w:b/>
                <w:bCs/>
                <w:color w:val="000000"/>
                <w:sz w:val="18"/>
                <w:szCs w:val="18"/>
              </w:rPr>
              <w:t>3,010</w:t>
            </w:r>
          </w:p>
        </w:tc>
        <w:tc>
          <w:tcPr>
            <w:tcW w:w="3544" w:type="dxa"/>
            <w:vMerge/>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0E68" w:rsidRPr="00973C4E" w:rsidRDefault="00280E68" w:rsidP="00280E68">
            <w:pPr>
              <w:jc w:val="center"/>
              <w:rPr>
                <w:rFonts w:ascii="Palatino Linotype" w:hAnsi="Palatino Linotype"/>
                <w:sz w:val="20"/>
                <w:szCs w:val="20"/>
                <w:lang w:val="en-GB"/>
              </w:rPr>
            </w:pPr>
          </w:p>
        </w:tc>
        <w:tc>
          <w:tcPr>
            <w:tcW w:w="3544" w:type="dxa"/>
            <w:vMerge/>
            <w:tcBorders>
              <w:top w:val="nil"/>
              <w:left w:val="single" w:sz="4" w:space="0" w:color="BFBFBF" w:themeColor="background1" w:themeShade="BF"/>
              <w:bottom w:val="nil"/>
              <w:right w:val="single" w:sz="4" w:space="0" w:color="BFBFBF" w:themeColor="background1" w:themeShade="BF"/>
            </w:tcBorders>
            <w:vAlign w:val="center"/>
          </w:tcPr>
          <w:p w:rsidR="00280E68" w:rsidRPr="00973C4E" w:rsidRDefault="00280E68" w:rsidP="00280E68">
            <w:pPr>
              <w:jc w:val="center"/>
              <w:rPr>
                <w:rFonts w:ascii="Palatino Linotype" w:hAnsi="Palatino Linotype"/>
                <w:sz w:val="20"/>
                <w:szCs w:val="20"/>
                <w:lang w:val="en-GB"/>
              </w:rPr>
            </w:pPr>
          </w:p>
        </w:tc>
      </w:tr>
      <w:tr w:rsidR="00280E68" w:rsidRPr="00973C4E" w:rsidTr="00B1098C">
        <w:trPr>
          <w:cantSplit/>
          <w:trHeight w:val="478"/>
        </w:trPr>
        <w:tc>
          <w:tcPr>
            <w:tcW w:w="1006" w:type="dxa"/>
            <w:tcBorders>
              <w:top w:val="nil"/>
              <w:left w:val="single" w:sz="4" w:space="0" w:color="BFBFBF" w:themeColor="background1" w:themeShade="BF"/>
              <w:bottom w:val="nil"/>
              <w:right w:val="nil"/>
            </w:tcBorders>
            <w:vAlign w:val="bottom"/>
          </w:tcPr>
          <w:p w:rsidR="00280E68" w:rsidRDefault="00280E68" w:rsidP="00280E68">
            <w:pPr>
              <w:spacing w:line="240" w:lineRule="auto"/>
              <w:ind w:firstLineChars="100" w:firstLine="180"/>
              <w:rPr>
                <w:rFonts w:ascii="Calibri" w:hAnsi="Calibri" w:cs="Calibri"/>
                <w:i/>
                <w:iCs/>
                <w:sz w:val="18"/>
                <w:szCs w:val="18"/>
              </w:rPr>
            </w:pPr>
            <w:r>
              <w:rPr>
                <w:rFonts w:ascii="Calibri" w:hAnsi="Calibri" w:cs="Calibri"/>
                <w:i/>
                <w:iCs/>
                <w:sz w:val="18"/>
                <w:szCs w:val="18"/>
              </w:rPr>
              <w:t>Marj</w:t>
            </w:r>
          </w:p>
        </w:tc>
        <w:tc>
          <w:tcPr>
            <w:tcW w:w="861" w:type="dxa"/>
            <w:tcBorders>
              <w:top w:val="nil"/>
              <w:left w:val="nil"/>
              <w:bottom w:val="nil"/>
              <w:right w:val="nil"/>
            </w:tcBorders>
            <w:shd w:val="clear" w:color="auto" w:fill="auto"/>
            <w:vAlign w:val="center"/>
          </w:tcPr>
          <w:p w:rsidR="00280E68" w:rsidRDefault="00280E68" w:rsidP="00280E68">
            <w:pPr>
              <w:jc w:val="center"/>
              <w:rPr>
                <w:rFonts w:ascii="Calibri" w:hAnsi="Calibri" w:cs="Calibri"/>
                <w:i/>
                <w:iCs/>
                <w:color w:val="000000"/>
                <w:sz w:val="18"/>
                <w:szCs w:val="18"/>
              </w:rPr>
            </w:pPr>
            <w:r>
              <w:rPr>
                <w:rFonts w:ascii="Calibri" w:hAnsi="Calibri" w:cs="Calibri"/>
                <w:i/>
                <w:iCs/>
                <w:color w:val="000000"/>
                <w:sz w:val="18"/>
                <w:szCs w:val="18"/>
              </w:rPr>
              <w:t>19.3%</w:t>
            </w:r>
          </w:p>
        </w:tc>
        <w:tc>
          <w:tcPr>
            <w:tcW w:w="873" w:type="dxa"/>
            <w:tcBorders>
              <w:top w:val="nil"/>
              <w:left w:val="nil"/>
              <w:bottom w:val="nil"/>
              <w:right w:val="nil"/>
            </w:tcBorders>
            <w:shd w:val="clear" w:color="auto" w:fill="auto"/>
            <w:vAlign w:val="center"/>
          </w:tcPr>
          <w:p w:rsidR="00280E68" w:rsidRDefault="00280E68" w:rsidP="00280E68">
            <w:pPr>
              <w:jc w:val="center"/>
              <w:rPr>
                <w:rFonts w:ascii="Calibri" w:hAnsi="Calibri" w:cs="Calibri"/>
                <w:i/>
                <w:iCs/>
                <w:color w:val="000000"/>
                <w:sz w:val="18"/>
                <w:szCs w:val="18"/>
              </w:rPr>
            </w:pPr>
            <w:r>
              <w:rPr>
                <w:rFonts w:ascii="Calibri" w:hAnsi="Calibri" w:cs="Calibri"/>
                <w:i/>
                <w:iCs/>
                <w:color w:val="000000"/>
                <w:sz w:val="18"/>
                <w:szCs w:val="18"/>
              </w:rPr>
              <w:t>20.6%</w:t>
            </w:r>
          </w:p>
        </w:tc>
        <w:tc>
          <w:tcPr>
            <w:tcW w:w="804" w:type="dxa"/>
            <w:tcBorders>
              <w:top w:val="nil"/>
              <w:left w:val="nil"/>
              <w:bottom w:val="nil"/>
              <w:right w:val="single" w:sz="8" w:space="0" w:color="BFBFBF"/>
            </w:tcBorders>
            <w:shd w:val="clear" w:color="auto" w:fill="auto"/>
            <w:vAlign w:val="center"/>
          </w:tcPr>
          <w:p w:rsidR="00280E68" w:rsidRDefault="00280E68" w:rsidP="00280E68">
            <w:pPr>
              <w:jc w:val="center"/>
              <w:rPr>
                <w:rFonts w:ascii="Calibri" w:hAnsi="Calibri" w:cs="Calibri"/>
                <w:i/>
                <w:iCs/>
                <w:color w:val="000000"/>
                <w:sz w:val="18"/>
                <w:szCs w:val="18"/>
              </w:rPr>
            </w:pPr>
            <w:r>
              <w:rPr>
                <w:rFonts w:ascii="Calibri" w:hAnsi="Calibri" w:cs="Calibri"/>
                <w:i/>
                <w:iCs/>
                <w:color w:val="000000"/>
                <w:sz w:val="18"/>
                <w:szCs w:val="18"/>
              </w:rPr>
              <w:t>20.5%</w:t>
            </w:r>
          </w:p>
        </w:tc>
        <w:tc>
          <w:tcPr>
            <w:tcW w:w="3544" w:type="dxa"/>
            <w:vMerge/>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0E68" w:rsidRPr="00973C4E" w:rsidRDefault="00280E68" w:rsidP="00280E68">
            <w:pPr>
              <w:jc w:val="center"/>
              <w:rPr>
                <w:rFonts w:ascii="Palatino Linotype" w:hAnsi="Palatino Linotype"/>
                <w:sz w:val="20"/>
                <w:szCs w:val="20"/>
                <w:lang w:val="en-GB"/>
              </w:rPr>
            </w:pPr>
          </w:p>
        </w:tc>
        <w:tc>
          <w:tcPr>
            <w:tcW w:w="3544" w:type="dxa"/>
            <w:vMerge/>
            <w:tcBorders>
              <w:top w:val="nil"/>
              <w:left w:val="single" w:sz="4" w:space="0" w:color="BFBFBF" w:themeColor="background1" w:themeShade="BF"/>
              <w:bottom w:val="nil"/>
              <w:right w:val="single" w:sz="4" w:space="0" w:color="BFBFBF" w:themeColor="background1" w:themeShade="BF"/>
            </w:tcBorders>
            <w:vAlign w:val="center"/>
          </w:tcPr>
          <w:p w:rsidR="00280E68" w:rsidRPr="00973C4E" w:rsidRDefault="00280E68" w:rsidP="00280E68">
            <w:pPr>
              <w:jc w:val="center"/>
              <w:rPr>
                <w:rFonts w:ascii="Palatino Linotype" w:hAnsi="Palatino Linotype"/>
                <w:sz w:val="20"/>
                <w:szCs w:val="20"/>
                <w:lang w:val="en-GB"/>
              </w:rPr>
            </w:pPr>
          </w:p>
        </w:tc>
      </w:tr>
      <w:tr w:rsidR="00280E68" w:rsidRPr="00973C4E" w:rsidTr="001F67DB">
        <w:trPr>
          <w:cantSplit/>
          <w:trHeight w:val="123"/>
        </w:trPr>
        <w:tc>
          <w:tcPr>
            <w:tcW w:w="1006" w:type="dxa"/>
            <w:tcBorders>
              <w:top w:val="nil"/>
              <w:left w:val="single" w:sz="4" w:space="0" w:color="BFBFBF" w:themeColor="background1" w:themeShade="BF"/>
              <w:bottom w:val="single" w:sz="4" w:space="0" w:color="BFBFBF" w:themeColor="background1" w:themeShade="BF"/>
              <w:right w:val="nil"/>
            </w:tcBorders>
            <w:vAlign w:val="bottom"/>
          </w:tcPr>
          <w:p w:rsidR="00280E68" w:rsidRDefault="00280E68" w:rsidP="00280E68">
            <w:pPr>
              <w:spacing w:line="240" w:lineRule="auto"/>
              <w:rPr>
                <w:rFonts w:ascii="Calibri" w:hAnsi="Calibri" w:cs="Calibri"/>
                <w:b/>
                <w:bCs/>
                <w:sz w:val="18"/>
                <w:szCs w:val="18"/>
              </w:rPr>
            </w:pPr>
            <w:r>
              <w:rPr>
                <w:rFonts w:ascii="Calibri" w:hAnsi="Calibri" w:cs="Calibri"/>
                <w:b/>
                <w:bCs/>
                <w:sz w:val="18"/>
                <w:szCs w:val="18"/>
              </w:rPr>
              <w:t>Net Kar</w:t>
            </w:r>
          </w:p>
        </w:tc>
        <w:tc>
          <w:tcPr>
            <w:tcW w:w="861" w:type="dxa"/>
            <w:tcBorders>
              <w:top w:val="nil"/>
              <w:left w:val="nil"/>
              <w:bottom w:val="single" w:sz="8" w:space="0" w:color="BFBFBF"/>
              <w:right w:val="nil"/>
            </w:tcBorders>
            <w:shd w:val="clear" w:color="auto" w:fill="auto"/>
            <w:vAlign w:val="center"/>
          </w:tcPr>
          <w:p w:rsidR="00280E68" w:rsidRDefault="00280E68" w:rsidP="00280E68">
            <w:pPr>
              <w:jc w:val="center"/>
              <w:rPr>
                <w:rFonts w:ascii="Calibri" w:hAnsi="Calibri" w:cs="Calibri"/>
                <w:b/>
                <w:bCs/>
                <w:color w:val="000000"/>
                <w:sz w:val="18"/>
                <w:szCs w:val="18"/>
              </w:rPr>
            </w:pPr>
            <w:r>
              <w:rPr>
                <w:rFonts w:ascii="Calibri" w:hAnsi="Calibri" w:cs="Calibri"/>
                <w:b/>
                <w:bCs/>
                <w:color w:val="000000"/>
                <w:sz w:val="18"/>
                <w:szCs w:val="18"/>
              </w:rPr>
              <w:t>1,233</w:t>
            </w:r>
          </w:p>
        </w:tc>
        <w:tc>
          <w:tcPr>
            <w:tcW w:w="873" w:type="dxa"/>
            <w:tcBorders>
              <w:top w:val="nil"/>
              <w:left w:val="nil"/>
              <w:bottom w:val="single" w:sz="8" w:space="0" w:color="BFBFBF"/>
              <w:right w:val="nil"/>
            </w:tcBorders>
            <w:shd w:val="clear" w:color="auto" w:fill="auto"/>
            <w:vAlign w:val="center"/>
          </w:tcPr>
          <w:p w:rsidR="00280E68" w:rsidRDefault="00280E68" w:rsidP="00280E68">
            <w:pPr>
              <w:jc w:val="center"/>
              <w:rPr>
                <w:rFonts w:ascii="Calibri" w:hAnsi="Calibri" w:cs="Calibri"/>
                <w:b/>
                <w:bCs/>
                <w:color w:val="000000"/>
                <w:sz w:val="18"/>
                <w:szCs w:val="18"/>
              </w:rPr>
            </w:pPr>
            <w:r>
              <w:rPr>
                <w:rFonts w:ascii="Calibri" w:hAnsi="Calibri" w:cs="Calibri"/>
                <w:b/>
                <w:bCs/>
                <w:color w:val="000000"/>
                <w:sz w:val="18"/>
                <w:szCs w:val="18"/>
              </w:rPr>
              <w:t>1,211</w:t>
            </w:r>
          </w:p>
        </w:tc>
        <w:tc>
          <w:tcPr>
            <w:tcW w:w="804" w:type="dxa"/>
            <w:tcBorders>
              <w:top w:val="nil"/>
              <w:left w:val="nil"/>
              <w:bottom w:val="single" w:sz="8" w:space="0" w:color="BFBFBF"/>
              <w:right w:val="single" w:sz="8" w:space="0" w:color="BFBFBF"/>
            </w:tcBorders>
            <w:shd w:val="clear" w:color="auto" w:fill="auto"/>
            <w:vAlign w:val="center"/>
          </w:tcPr>
          <w:p w:rsidR="00280E68" w:rsidRDefault="00280E68" w:rsidP="00280E68">
            <w:pPr>
              <w:jc w:val="center"/>
              <w:rPr>
                <w:rFonts w:ascii="Calibri" w:hAnsi="Calibri" w:cs="Calibri"/>
                <w:b/>
                <w:bCs/>
                <w:color w:val="000000"/>
                <w:sz w:val="18"/>
                <w:szCs w:val="18"/>
              </w:rPr>
            </w:pPr>
            <w:r>
              <w:rPr>
                <w:rFonts w:ascii="Calibri" w:hAnsi="Calibri" w:cs="Calibri"/>
                <w:b/>
                <w:bCs/>
                <w:color w:val="000000"/>
                <w:sz w:val="18"/>
                <w:szCs w:val="18"/>
              </w:rPr>
              <w:t>1,290</w:t>
            </w:r>
          </w:p>
        </w:tc>
        <w:tc>
          <w:tcPr>
            <w:tcW w:w="3544" w:type="dxa"/>
            <w:vMerge/>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0E68" w:rsidRPr="00973C4E" w:rsidRDefault="00280E68" w:rsidP="00280E68">
            <w:pPr>
              <w:jc w:val="center"/>
              <w:rPr>
                <w:rFonts w:ascii="Palatino Linotype" w:hAnsi="Palatino Linotype"/>
                <w:sz w:val="20"/>
                <w:szCs w:val="20"/>
                <w:lang w:val="en-GB"/>
              </w:rPr>
            </w:pPr>
          </w:p>
        </w:tc>
        <w:tc>
          <w:tcPr>
            <w:tcW w:w="3544" w:type="dxa"/>
            <w:vMerge/>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0E68" w:rsidRPr="00973C4E" w:rsidRDefault="00280E68" w:rsidP="00280E68">
            <w:pPr>
              <w:jc w:val="center"/>
              <w:rPr>
                <w:rFonts w:ascii="Palatino Linotype" w:hAnsi="Palatino Linotype"/>
                <w:sz w:val="20"/>
                <w:szCs w:val="20"/>
                <w:lang w:val="en-GB"/>
              </w:rPr>
            </w:pPr>
          </w:p>
        </w:tc>
      </w:tr>
    </w:tbl>
    <w:p w:rsidR="0062103E" w:rsidRDefault="0062103E" w:rsidP="0045351D">
      <w:pPr>
        <w:ind w:left="142" w:right="-142"/>
        <w:jc w:val="both"/>
        <w:rPr>
          <w:b/>
          <w:sz w:val="21"/>
          <w:szCs w:val="21"/>
        </w:rPr>
      </w:pPr>
    </w:p>
    <w:p w:rsidR="0045351D" w:rsidRPr="0045351D" w:rsidRDefault="00891700" w:rsidP="0045351D">
      <w:pPr>
        <w:ind w:left="142" w:right="-142"/>
        <w:jc w:val="both"/>
        <w:rPr>
          <w:b/>
          <w:sz w:val="21"/>
          <w:szCs w:val="21"/>
        </w:rPr>
      </w:pPr>
      <w:bookmarkStart w:id="3" w:name="_GoBack"/>
      <w:r>
        <w:rPr>
          <w:b/>
          <w:sz w:val="21"/>
          <w:szCs w:val="21"/>
        </w:rPr>
        <w:t xml:space="preserve">Beklentilere paralel sonuçlar: </w:t>
      </w:r>
      <w:r w:rsidR="0045351D" w:rsidRPr="0045351D">
        <w:rPr>
          <w:sz w:val="21"/>
          <w:szCs w:val="21"/>
        </w:rPr>
        <w:t xml:space="preserve">Coca-Cola </w:t>
      </w:r>
      <w:r>
        <w:rPr>
          <w:sz w:val="21"/>
          <w:szCs w:val="21"/>
        </w:rPr>
        <w:t>İçecek 2</w:t>
      </w:r>
      <w:r w:rsidR="001F67DB">
        <w:rPr>
          <w:sz w:val="21"/>
          <w:szCs w:val="21"/>
        </w:rPr>
        <w:t>Ç22</w:t>
      </w:r>
      <w:r>
        <w:rPr>
          <w:sz w:val="21"/>
          <w:szCs w:val="21"/>
        </w:rPr>
        <w:t xml:space="preserve">’de piyasa beklentisine paralel 1.23 milyar </w:t>
      </w:r>
      <w:r w:rsidR="0045351D" w:rsidRPr="0045351D">
        <w:rPr>
          <w:sz w:val="21"/>
          <w:szCs w:val="21"/>
        </w:rPr>
        <w:t xml:space="preserve">TL net kar açıkladı. </w:t>
      </w:r>
      <w:r>
        <w:rPr>
          <w:sz w:val="21"/>
          <w:szCs w:val="21"/>
        </w:rPr>
        <w:t>Net kar yıllık bazda %71</w:t>
      </w:r>
      <w:r w:rsidR="001F67DB">
        <w:rPr>
          <w:sz w:val="21"/>
          <w:szCs w:val="21"/>
        </w:rPr>
        <w:t xml:space="preserve"> yükseldi. </w:t>
      </w:r>
      <w:r w:rsidR="0045351D" w:rsidRPr="0045351D">
        <w:rPr>
          <w:sz w:val="21"/>
          <w:szCs w:val="21"/>
        </w:rPr>
        <w:t xml:space="preserve">Şirket’in </w:t>
      </w:r>
      <w:r w:rsidR="001F67DB">
        <w:rPr>
          <w:sz w:val="21"/>
          <w:szCs w:val="21"/>
        </w:rPr>
        <w:t xml:space="preserve">satışları </w:t>
      </w:r>
      <w:r w:rsidR="0045351D" w:rsidRPr="0045351D">
        <w:rPr>
          <w:sz w:val="21"/>
          <w:szCs w:val="21"/>
        </w:rPr>
        <w:t>ve FAVÖK’ü</w:t>
      </w:r>
      <w:r>
        <w:rPr>
          <w:sz w:val="21"/>
          <w:szCs w:val="21"/>
        </w:rPr>
        <w:t xml:space="preserve"> sırasıyla yıllık bazda %152 ve %112</w:t>
      </w:r>
      <w:r w:rsidR="001F67DB">
        <w:rPr>
          <w:sz w:val="21"/>
          <w:szCs w:val="21"/>
        </w:rPr>
        <w:t xml:space="preserve"> büyüme</w:t>
      </w:r>
      <w:r w:rsidR="00714B20">
        <w:rPr>
          <w:sz w:val="21"/>
          <w:szCs w:val="21"/>
        </w:rPr>
        <w:t xml:space="preserve"> gösterdi ve hem satışlar hem</w:t>
      </w:r>
      <w:r w:rsidR="001F67DB">
        <w:rPr>
          <w:sz w:val="21"/>
          <w:szCs w:val="21"/>
        </w:rPr>
        <w:t xml:space="preserve"> FAVÖK</w:t>
      </w:r>
      <w:r w:rsidR="0045351D" w:rsidRPr="0045351D">
        <w:rPr>
          <w:sz w:val="21"/>
          <w:szCs w:val="21"/>
        </w:rPr>
        <w:t xml:space="preserve"> piyasa beklentisin</w:t>
      </w:r>
      <w:r>
        <w:rPr>
          <w:sz w:val="21"/>
          <w:szCs w:val="21"/>
        </w:rPr>
        <w:t xml:space="preserve">e paralel gerçekleşti. Sonuçların beklentiler ile uyumlu olması nedeniyle piyasa tepkisinin nötr olmasını bekliyoruz. Şirket, 2022 öngörülerini değiştirmezken, beklentilerine göre </w:t>
      </w:r>
      <w:r w:rsidR="00196082">
        <w:rPr>
          <w:sz w:val="21"/>
          <w:szCs w:val="21"/>
        </w:rPr>
        <w:t xml:space="preserve">ciro da </w:t>
      </w:r>
      <w:r>
        <w:rPr>
          <w:sz w:val="21"/>
          <w:szCs w:val="21"/>
        </w:rPr>
        <w:t>yukarı yönlü sapma, FAVÖK marjında ise aşağı yönlü sapma riski olduğunu belirtti. Şirket’in öngörüleri bizim beklentilerimize de paralellik taşıyor.</w:t>
      </w:r>
      <w:r w:rsidR="00240FDF">
        <w:rPr>
          <w:sz w:val="21"/>
          <w:szCs w:val="21"/>
        </w:rPr>
        <w:t xml:space="preserve"> </w:t>
      </w:r>
    </w:p>
    <w:p w:rsidR="0045351D" w:rsidRPr="0045351D" w:rsidRDefault="0045351D" w:rsidP="0045351D">
      <w:pPr>
        <w:ind w:left="142" w:right="-142"/>
        <w:jc w:val="both"/>
        <w:rPr>
          <w:b/>
          <w:sz w:val="21"/>
          <w:szCs w:val="21"/>
        </w:rPr>
      </w:pPr>
      <w:r w:rsidRPr="0045351D">
        <w:rPr>
          <w:b/>
          <w:sz w:val="21"/>
          <w:szCs w:val="21"/>
        </w:rPr>
        <w:t>Güçlü büyüme momentumu de</w:t>
      </w:r>
      <w:r w:rsidR="00891700">
        <w:rPr>
          <w:b/>
          <w:sz w:val="21"/>
          <w:szCs w:val="21"/>
        </w:rPr>
        <w:t xml:space="preserve">vam ederken, maliyet baskıları operasyonel marjları zayıflattı: </w:t>
      </w:r>
      <w:r w:rsidR="00891700">
        <w:rPr>
          <w:sz w:val="21"/>
          <w:szCs w:val="21"/>
        </w:rPr>
        <w:t>Şirket’in gelirleri 2</w:t>
      </w:r>
      <w:r w:rsidR="00196082">
        <w:rPr>
          <w:sz w:val="21"/>
          <w:szCs w:val="21"/>
        </w:rPr>
        <w:t>Ç22’de yıllık bazda %152 büyüme ile 14.7</w:t>
      </w:r>
      <w:r w:rsidRPr="0045351D">
        <w:rPr>
          <w:sz w:val="21"/>
          <w:szCs w:val="21"/>
        </w:rPr>
        <w:t xml:space="preserve"> milyar TL’</w:t>
      </w:r>
      <w:r w:rsidR="00196082">
        <w:rPr>
          <w:sz w:val="21"/>
          <w:szCs w:val="21"/>
        </w:rPr>
        <w:t>ye yükseldi. Konsolide bazda %25,1</w:t>
      </w:r>
      <w:r w:rsidRPr="0045351D">
        <w:rPr>
          <w:sz w:val="21"/>
          <w:szCs w:val="21"/>
        </w:rPr>
        <w:t xml:space="preserve"> hacim büyümesi, fiyat artışları ve uluslararası operasyonların kur çevrim farkları gelir büyümesinin temel etkenleri olarak öne çıktı. </w:t>
      </w:r>
      <w:r w:rsidR="00196082">
        <w:rPr>
          <w:sz w:val="21"/>
          <w:szCs w:val="21"/>
        </w:rPr>
        <w:t xml:space="preserve">FAVÖK yıllık bazda %112 artış ile 2.83 milyar TL’ye ulaştı. Güçlü hacim büyümesi, fiyat artışları ve maliyet kontrolüne rağmen </w:t>
      </w:r>
      <w:r w:rsidR="001E1ABE">
        <w:rPr>
          <w:sz w:val="21"/>
          <w:szCs w:val="21"/>
        </w:rPr>
        <w:t xml:space="preserve">FAVÖK marjı </w:t>
      </w:r>
      <w:r w:rsidR="00196082">
        <w:rPr>
          <w:sz w:val="21"/>
          <w:szCs w:val="21"/>
        </w:rPr>
        <w:t xml:space="preserve">hammadde fiyat artışları ve diğer </w:t>
      </w:r>
      <w:r w:rsidR="002F1E6B">
        <w:rPr>
          <w:sz w:val="21"/>
          <w:szCs w:val="21"/>
        </w:rPr>
        <w:t>maliyet baskıların</w:t>
      </w:r>
      <w:r w:rsidR="00196082">
        <w:rPr>
          <w:sz w:val="21"/>
          <w:szCs w:val="21"/>
        </w:rPr>
        <w:t>ın etkisi ile 365 baz puan daralarak %19.3’e geriledi.</w:t>
      </w:r>
      <w:r w:rsidRPr="0045351D">
        <w:rPr>
          <w:b/>
          <w:sz w:val="21"/>
          <w:szCs w:val="21"/>
        </w:rPr>
        <w:t xml:space="preserve"> </w:t>
      </w:r>
    </w:p>
    <w:p w:rsidR="002F1E6B" w:rsidRDefault="00240FDF" w:rsidP="0045351D">
      <w:pPr>
        <w:ind w:left="142" w:right="-142"/>
        <w:jc w:val="both"/>
        <w:rPr>
          <w:sz w:val="21"/>
          <w:szCs w:val="21"/>
        </w:rPr>
      </w:pPr>
      <w:r>
        <w:rPr>
          <w:b/>
          <w:sz w:val="21"/>
          <w:szCs w:val="21"/>
        </w:rPr>
        <w:t>2022 ö</w:t>
      </w:r>
      <w:r w:rsidR="00436015">
        <w:rPr>
          <w:b/>
          <w:sz w:val="21"/>
          <w:szCs w:val="21"/>
        </w:rPr>
        <w:t>ngörüleri</w:t>
      </w:r>
      <w:r w:rsidR="0045351D" w:rsidRPr="0045351D">
        <w:rPr>
          <w:b/>
          <w:sz w:val="21"/>
          <w:szCs w:val="21"/>
        </w:rPr>
        <w:t xml:space="preserve">: </w:t>
      </w:r>
      <w:r w:rsidR="0045351D" w:rsidRPr="0045351D">
        <w:rPr>
          <w:sz w:val="21"/>
          <w:szCs w:val="21"/>
        </w:rPr>
        <w:t xml:space="preserve">Şirket daha önce açıkladığı 2022 öngörülerinde değişikliğe gitmedi. </w:t>
      </w:r>
      <w:r w:rsidR="002F1E6B">
        <w:rPr>
          <w:sz w:val="21"/>
          <w:szCs w:val="21"/>
        </w:rPr>
        <w:t>Buna göre şirket yönetimi yüksek tek hane ile düşük çift hane aralığında hacim büyümesi, düşük-orta 40’lı yüzdelerde k</w:t>
      </w:r>
      <w:r w:rsidR="00500720">
        <w:rPr>
          <w:sz w:val="21"/>
          <w:szCs w:val="21"/>
        </w:rPr>
        <w:t>ur etkisinden arındırılmış ciro</w:t>
      </w:r>
      <w:r w:rsidR="002F1E6B">
        <w:rPr>
          <w:sz w:val="21"/>
          <w:szCs w:val="21"/>
        </w:rPr>
        <w:t xml:space="preserve"> büyümesi,</w:t>
      </w:r>
      <w:r w:rsidR="0038228E">
        <w:rPr>
          <w:sz w:val="21"/>
          <w:szCs w:val="21"/>
        </w:rPr>
        <w:t xml:space="preserve"> görece karlılığı düşük Özbekis</w:t>
      </w:r>
      <w:r w:rsidR="002F1E6B">
        <w:rPr>
          <w:sz w:val="21"/>
          <w:szCs w:val="21"/>
        </w:rPr>
        <w:t>tan operasyonlarının ve maliyet baskılarının etkisi dahil 2021 yılına paralel ile 100 baz puan düşüş aralığında FAVÖK marjı öngörüyor.</w:t>
      </w:r>
      <w:r w:rsidR="00436015">
        <w:rPr>
          <w:sz w:val="21"/>
          <w:szCs w:val="21"/>
        </w:rPr>
        <w:t xml:space="preserve"> Şirket, 2022 öngörülerini değiştirmezken, beklentilerine göre </w:t>
      </w:r>
      <w:r w:rsidR="00196082">
        <w:rPr>
          <w:sz w:val="21"/>
          <w:szCs w:val="21"/>
        </w:rPr>
        <w:t xml:space="preserve">satışlarda </w:t>
      </w:r>
      <w:r w:rsidR="00436015">
        <w:rPr>
          <w:sz w:val="21"/>
          <w:szCs w:val="21"/>
        </w:rPr>
        <w:t xml:space="preserve">yukarı yönlü sapma, FAVÖK marjında ise aşağı yönlü sapma riski olduğunu belirtti. Şirket’in öngörüleri bizim beklentilerimize de paralellik </w:t>
      </w:r>
      <w:r w:rsidR="00196082">
        <w:rPr>
          <w:sz w:val="21"/>
          <w:szCs w:val="21"/>
        </w:rPr>
        <w:t>gösteriyor.</w:t>
      </w:r>
    </w:p>
    <w:p w:rsidR="0045351D" w:rsidRDefault="00240FDF" w:rsidP="0045351D">
      <w:pPr>
        <w:ind w:left="142" w:right="-142"/>
        <w:jc w:val="both"/>
        <w:rPr>
          <w:b/>
          <w:sz w:val="21"/>
          <w:szCs w:val="21"/>
        </w:rPr>
      </w:pPr>
      <w:r>
        <w:rPr>
          <w:b/>
          <w:sz w:val="21"/>
          <w:szCs w:val="21"/>
        </w:rPr>
        <w:t>Net b</w:t>
      </w:r>
      <w:r w:rsidR="002F1E6B">
        <w:rPr>
          <w:b/>
          <w:sz w:val="21"/>
          <w:szCs w:val="21"/>
        </w:rPr>
        <w:t xml:space="preserve">orç: </w:t>
      </w:r>
      <w:r w:rsidRPr="00240FDF">
        <w:rPr>
          <w:sz w:val="21"/>
          <w:szCs w:val="21"/>
        </w:rPr>
        <w:t>N</w:t>
      </w:r>
      <w:r w:rsidR="002F1E6B">
        <w:rPr>
          <w:sz w:val="21"/>
          <w:szCs w:val="21"/>
        </w:rPr>
        <w:t>et</w:t>
      </w:r>
      <w:r w:rsidR="002F1E6B" w:rsidRPr="002F1E6B">
        <w:rPr>
          <w:sz w:val="21"/>
          <w:szCs w:val="21"/>
        </w:rPr>
        <w:t xml:space="preserve"> bor</w:t>
      </w:r>
      <w:r w:rsidR="00196082">
        <w:rPr>
          <w:sz w:val="21"/>
          <w:szCs w:val="21"/>
        </w:rPr>
        <w:t xml:space="preserve">ç </w:t>
      </w:r>
      <w:r w:rsidR="00891700">
        <w:rPr>
          <w:sz w:val="21"/>
          <w:szCs w:val="21"/>
        </w:rPr>
        <w:t>2Ç22 sonu itibari ile 453</w:t>
      </w:r>
      <w:r w:rsidR="002F1E6B">
        <w:rPr>
          <w:sz w:val="21"/>
          <w:szCs w:val="21"/>
        </w:rPr>
        <w:t xml:space="preserve"> </w:t>
      </w:r>
      <w:r w:rsidR="002F1E6B" w:rsidRPr="002F1E6B">
        <w:rPr>
          <w:sz w:val="21"/>
          <w:szCs w:val="21"/>
        </w:rPr>
        <w:t>m</w:t>
      </w:r>
      <w:r w:rsidR="002F1E6B">
        <w:rPr>
          <w:sz w:val="21"/>
          <w:szCs w:val="21"/>
        </w:rPr>
        <w:t>ilyo</w:t>
      </w:r>
      <w:r w:rsidR="002F1E6B" w:rsidRPr="002F1E6B">
        <w:rPr>
          <w:sz w:val="21"/>
          <w:szCs w:val="21"/>
        </w:rPr>
        <w:t xml:space="preserve">n </w:t>
      </w:r>
      <w:r w:rsidR="002F1E6B">
        <w:rPr>
          <w:sz w:val="21"/>
          <w:szCs w:val="21"/>
        </w:rPr>
        <w:t>dolar</w:t>
      </w:r>
      <w:r w:rsidR="00436015">
        <w:rPr>
          <w:sz w:val="21"/>
          <w:szCs w:val="21"/>
        </w:rPr>
        <w:t xml:space="preserve"> seviyesine geriledi (</w:t>
      </w:r>
      <w:r w:rsidR="00714B20">
        <w:rPr>
          <w:sz w:val="21"/>
          <w:szCs w:val="21"/>
        </w:rPr>
        <w:t>1Ç22 sonu</w:t>
      </w:r>
      <w:r w:rsidR="00436015">
        <w:rPr>
          <w:sz w:val="21"/>
          <w:szCs w:val="21"/>
        </w:rPr>
        <w:t xml:space="preserve">: 473 milyon dolar). </w:t>
      </w:r>
      <w:r w:rsidR="002F1E6B" w:rsidRPr="002F1E6B">
        <w:rPr>
          <w:sz w:val="21"/>
          <w:szCs w:val="21"/>
        </w:rPr>
        <w:t>Net Bo</w:t>
      </w:r>
      <w:r>
        <w:rPr>
          <w:sz w:val="21"/>
          <w:szCs w:val="21"/>
        </w:rPr>
        <w:t xml:space="preserve">rç/12A FAVÖK hafif </w:t>
      </w:r>
      <w:r w:rsidR="00436015">
        <w:rPr>
          <w:sz w:val="21"/>
          <w:szCs w:val="21"/>
        </w:rPr>
        <w:t>iyileşerek 1</w:t>
      </w:r>
      <w:r w:rsidR="002F1E6B">
        <w:rPr>
          <w:sz w:val="21"/>
          <w:szCs w:val="21"/>
        </w:rPr>
        <w:t xml:space="preserve">x seviyesine </w:t>
      </w:r>
      <w:r w:rsidR="00436015">
        <w:rPr>
          <w:sz w:val="21"/>
          <w:szCs w:val="21"/>
        </w:rPr>
        <w:t>geriledi (1Ç22: 1,2</w:t>
      </w:r>
      <w:r w:rsidR="002F1E6B">
        <w:rPr>
          <w:sz w:val="21"/>
          <w:szCs w:val="21"/>
        </w:rPr>
        <w:t>x</w:t>
      </w:r>
      <w:r>
        <w:rPr>
          <w:sz w:val="21"/>
          <w:szCs w:val="21"/>
        </w:rPr>
        <w:t>).</w:t>
      </w:r>
      <w:r w:rsidR="00714B20">
        <w:rPr>
          <w:sz w:val="21"/>
          <w:szCs w:val="21"/>
        </w:rPr>
        <w:t xml:space="preserve"> </w:t>
      </w:r>
    </w:p>
    <w:p w:rsidR="00134552" w:rsidRDefault="0045351D" w:rsidP="0045351D">
      <w:pPr>
        <w:ind w:left="142" w:right="-142"/>
        <w:jc w:val="both"/>
        <w:rPr>
          <w:sz w:val="21"/>
          <w:szCs w:val="21"/>
        </w:rPr>
      </w:pPr>
      <w:r w:rsidRPr="0045351D">
        <w:rPr>
          <w:b/>
          <w:sz w:val="21"/>
          <w:szCs w:val="21"/>
        </w:rPr>
        <w:t xml:space="preserve">AL tavsiyemizi yineliyoruz: </w:t>
      </w:r>
      <w:r w:rsidR="00714B20">
        <w:rPr>
          <w:sz w:val="21"/>
          <w:szCs w:val="21"/>
        </w:rPr>
        <w:t>Sonuçların ardından</w:t>
      </w:r>
      <w:r w:rsidRPr="0045351D">
        <w:rPr>
          <w:sz w:val="21"/>
          <w:szCs w:val="21"/>
        </w:rPr>
        <w:t xml:space="preserve"> </w:t>
      </w:r>
      <w:r w:rsidR="00891700">
        <w:rPr>
          <w:sz w:val="21"/>
          <w:szCs w:val="21"/>
        </w:rPr>
        <w:t xml:space="preserve">güncel makro tahminlerimiz ile değerlememizde </w:t>
      </w:r>
      <w:r w:rsidRPr="0045351D">
        <w:rPr>
          <w:sz w:val="21"/>
          <w:szCs w:val="21"/>
        </w:rPr>
        <w:t xml:space="preserve">yukarı yönlü </w:t>
      </w:r>
      <w:r w:rsidR="00E92C62">
        <w:rPr>
          <w:sz w:val="21"/>
          <w:szCs w:val="21"/>
        </w:rPr>
        <w:t xml:space="preserve">güncelleme </w:t>
      </w:r>
      <w:r w:rsidRPr="0045351D">
        <w:rPr>
          <w:sz w:val="21"/>
          <w:szCs w:val="21"/>
        </w:rPr>
        <w:t>yap</w:t>
      </w:r>
      <w:r w:rsidR="00714B20">
        <w:rPr>
          <w:sz w:val="21"/>
          <w:szCs w:val="21"/>
        </w:rPr>
        <w:t>ıyoruz.</w:t>
      </w:r>
      <w:r w:rsidR="00240FDF">
        <w:rPr>
          <w:sz w:val="21"/>
          <w:szCs w:val="21"/>
        </w:rPr>
        <w:t xml:space="preserve"> H</w:t>
      </w:r>
      <w:r w:rsidR="00891700">
        <w:rPr>
          <w:sz w:val="21"/>
          <w:szCs w:val="21"/>
        </w:rPr>
        <w:t>edef değerimizi hisse başına 205</w:t>
      </w:r>
      <w:r w:rsidR="00240FDF">
        <w:rPr>
          <w:sz w:val="21"/>
          <w:szCs w:val="21"/>
        </w:rPr>
        <w:t>TL’ye (önceki:</w:t>
      </w:r>
      <w:r w:rsidR="00891700">
        <w:rPr>
          <w:sz w:val="21"/>
          <w:szCs w:val="21"/>
        </w:rPr>
        <w:t>169</w:t>
      </w:r>
      <w:r w:rsidRPr="0045351D">
        <w:rPr>
          <w:sz w:val="21"/>
          <w:szCs w:val="21"/>
        </w:rPr>
        <w:t xml:space="preserve"> TL/hisse</w:t>
      </w:r>
      <w:r w:rsidR="00240FDF">
        <w:rPr>
          <w:sz w:val="21"/>
          <w:szCs w:val="21"/>
        </w:rPr>
        <w:t>) yükseltiyoruz. Güncel h</w:t>
      </w:r>
      <w:r w:rsidRPr="0045351D">
        <w:rPr>
          <w:sz w:val="21"/>
          <w:szCs w:val="21"/>
        </w:rPr>
        <w:t>edef</w:t>
      </w:r>
      <w:r w:rsidR="00891700">
        <w:rPr>
          <w:sz w:val="21"/>
          <w:szCs w:val="21"/>
        </w:rPr>
        <w:t xml:space="preserve"> değerimize %33</w:t>
      </w:r>
      <w:r w:rsidRPr="0045351D">
        <w:rPr>
          <w:sz w:val="21"/>
          <w:szCs w:val="21"/>
        </w:rPr>
        <w:t xml:space="preserve"> getiri potansiyeli sunan hisse için AL tavsiyemizi </w:t>
      </w:r>
      <w:r w:rsidR="00891700">
        <w:rPr>
          <w:sz w:val="21"/>
          <w:szCs w:val="21"/>
        </w:rPr>
        <w:t xml:space="preserve">devam ettiriyoruz. </w:t>
      </w:r>
      <w:r w:rsidRPr="0045351D">
        <w:rPr>
          <w:sz w:val="21"/>
          <w:szCs w:val="21"/>
        </w:rPr>
        <w:t>Hi</w:t>
      </w:r>
      <w:r w:rsidR="00891700">
        <w:rPr>
          <w:sz w:val="21"/>
          <w:szCs w:val="21"/>
        </w:rPr>
        <w:t>sse 2022 tahminlerimize göre 5.4</w:t>
      </w:r>
      <w:r w:rsidRPr="0045351D">
        <w:rPr>
          <w:sz w:val="21"/>
          <w:szCs w:val="21"/>
        </w:rPr>
        <w:t>x FD/FAVÖK ile uluslararası benzerlerine</w:t>
      </w:r>
      <w:r w:rsidR="00C11D65">
        <w:rPr>
          <w:sz w:val="21"/>
          <w:szCs w:val="21"/>
        </w:rPr>
        <w:t xml:space="preserve"> göre yakın dönem</w:t>
      </w:r>
      <w:r w:rsidR="002F1E6B">
        <w:rPr>
          <w:sz w:val="21"/>
          <w:szCs w:val="21"/>
        </w:rPr>
        <w:t xml:space="preserve"> tarihsel</w:t>
      </w:r>
      <w:r w:rsidR="00C11D65">
        <w:rPr>
          <w:sz w:val="21"/>
          <w:szCs w:val="21"/>
        </w:rPr>
        <w:t xml:space="preserve"> or</w:t>
      </w:r>
      <w:r w:rsidR="00240FDF">
        <w:rPr>
          <w:sz w:val="21"/>
          <w:szCs w:val="21"/>
        </w:rPr>
        <w:t>talamaların</w:t>
      </w:r>
      <w:r w:rsidR="00714B20">
        <w:rPr>
          <w:sz w:val="21"/>
          <w:szCs w:val="21"/>
        </w:rPr>
        <w:t xml:space="preserve">a yakın </w:t>
      </w:r>
      <w:r w:rsidR="00891700">
        <w:rPr>
          <w:sz w:val="21"/>
          <w:szCs w:val="21"/>
        </w:rPr>
        <w:t>yaklaşık %35</w:t>
      </w:r>
      <w:r w:rsidRPr="0045351D">
        <w:rPr>
          <w:sz w:val="21"/>
          <w:szCs w:val="21"/>
        </w:rPr>
        <w:t xml:space="preserve"> iskonto ile işlem görüyor.  </w:t>
      </w:r>
    </w:p>
    <w:bookmarkEnd w:id="3"/>
    <w:p w:rsidR="00181255" w:rsidRDefault="00280E68" w:rsidP="00F802F8">
      <w:pPr>
        <w:ind w:left="142" w:right="-142"/>
        <w:jc w:val="both"/>
        <w:rPr>
          <w:rFonts w:cs="Arial"/>
          <w:color w:val="808080" w:themeColor="background1" w:themeShade="80"/>
        </w:rPr>
      </w:pPr>
      <w:r w:rsidRPr="00280E68">
        <w:rPr>
          <w:noProof/>
          <w:lang w:eastAsia="tr-TR"/>
        </w:rPr>
        <w:lastRenderedPageBreak/>
        <w:drawing>
          <wp:inline distT="0" distB="0" distL="0" distR="0">
            <wp:extent cx="6750685" cy="827527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50685" cy="8275270"/>
                    </a:xfrm>
                    <a:prstGeom prst="rect">
                      <a:avLst/>
                    </a:prstGeom>
                    <a:noFill/>
                    <a:ln>
                      <a:noFill/>
                    </a:ln>
                  </pic:spPr>
                </pic:pic>
              </a:graphicData>
            </a:graphic>
          </wp:inline>
        </w:drawing>
      </w:r>
    </w:p>
    <w:p w:rsidR="00A71F6D" w:rsidRDefault="00B25909" w:rsidP="00B25909">
      <w:pPr>
        <w:ind w:left="142"/>
      </w:pPr>
      <w:r>
        <w:rPr>
          <w:i/>
          <w:sz w:val="16"/>
        </w:rPr>
        <w:t xml:space="preserve"> </w:t>
      </w:r>
      <w:r w:rsidR="00A71F6D">
        <w:rPr>
          <w:i/>
          <w:sz w:val="16"/>
        </w:rPr>
        <w:t>Kaynak</w:t>
      </w:r>
      <w:r w:rsidR="00A71F6D" w:rsidRPr="002B52C9">
        <w:rPr>
          <w:i/>
          <w:sz w:val="16"/>
        </w:rPr>
        <w:t>:</w:t>
      </w:r>
      <w:r w:rsidR="00A71F6D">
        <w:rPr>
          <w:sz w:val="18"/>
        </w:rPr>
        <w:t xml:space="preserve"> </w:t>
      </w:r>
      <w:r w:rsidR="00A71F6D">
        <w:rPr>
          <w:rFonts w:cs="Verdana"/>
          <w:bCs/>
          <w:i/>
          <w:sz w:val="16"/>
        </w:rPr>
        <w:t>Şirket</w:t>
      </w:r>
      <w:r w:rsidR="00A71F6D" w:rsidRPr="00A36912">
        <w:rPr>
          <w:rFonts w:cs="Verdana"/>
          <w:bCs/>
          <w:i/>
          <w:sz w:val="16"/>
        </w:rPr>
        <w:t xml:space="preserve">, AK </w:t>
      </w:r>
      <w:r w:rsidR="00A71F6D">
        <w:rPr>
          <w:rFonts w:cs="Verdana"/>
          <w:bCs/>
          <w:i/>
          <w:sz w:val="16"/>
        </w:rPr>
        <w:t>Yatırım Araştırma</w:t>
      </w:r>
    </w:p>
    <w:p w:rsidR="00134552" w:rsidRDefault="00280E68" w:rsidP="006F4743">
      <w:pPr>
        <w:ind w:left="142"/>
        <w:jc w:val="both"/>
        <w:rPr>
          <w:rFonts w:cs="Arial"/>
          <w:color w:val="808080" w:themeColor="background1" w:themeShade="80"/>
        </w:rPr>
      </w:pPr>
      <w:r w:rsidRPr="00280E68">
        <w:rPr>
          <w:noProof/>
          <w:lang w:eastAsia="tr-TR"/>
        </w:rPr>
        <w:lastRenderedPageBreak/>
        <w:drawing>
          <wp:inline distT="0" distB="0" distL="0" distR="0">
            <wp:extent cx="5692140" cy="5478780"/>
            <wp:effectExtent l="0" t="0" r="381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92140" cy="5478780"/>
                    </a:xfrm>
                    <a:prstGeom prst="rect">
                      <a:avLst/>
                    </a:prstGeom>
                    <a:noFill/>
                    <a:ln>
                      <a:noFill/>
                    </a:ln>
                  </pic:spPr>
                </pic:pic>
              </a:graphicData>
            </a:graphic>
          </wp:inline>
        </w:drawing>
      </w:r>
    </w:p>
    <w:p w:rsidR="00181255" w:rsidRDefault="00482857" w:rsidP="00B25909">
      <w:pPr>
        <w:ind w:left="142"/>
        <w:jc w:val="both"/>
        <w:rPr>
          <w:rFonts w:cs="Arial"/>
          <w:color w:val="808080" w:themeColor="background1" w:themeShade="80"/>
        </w:rPr>
      </w:pPr>
      <w:r>
        <w:rPr>
          <w:i/>
          <w:sz w:val="16"/>
        </w:rPr>
        <w:t>Kaynak</w:t>
      </w:r>
      <w:r w:rsidRPr="002B52C9">
        <w:rPr>
          <w:i/>
          <w:sz w:val="16"/>
        </w:rPr>
        <w:t>:</w:t>
      </w:r>
      <w:r>
        <w:rPr>
          <w:sz w:val="18"/>
        </w:rPr>
        <w:t xml:space="preserve"> </w:t>
      </w:r>
      <w:r>
        <w:rPr>
          <w:rFonts w:cs="Verdana"/>
          <w:bCs/>
          <w:i/>
          <w:sz w:val="16"/>
        </w:rPr>
        <w:t>Şirket</w:t>
      </w:r>
      <w:r w:rsidRPr="00A36912">
        <w:rPr>
          <w:rFonts w:cs="Verdana"/>
          <w:bCs/>
          <w:i/>
          <w:sz w:val="16"/>
        </w:rPr>
        <w:t xml:space="preserve">, AK </w:t>
      </w:r>
      <w:r>
        <w:rPr>
          <w:rFonts w:cs="Verdana"/>
          <w:bCs/>
          <w:i/>
          <w:sz w:val="16"/>
        </w:rPr>
        <w:t>Yatırım Araştırma</w:t>
      </w:r>
    </w:p>
    <w:p w:rsidR="00482857" w:rsidRDefault="00482857" w:rsidP="00AB1BD2">
      <w:pPr>
        <w:jc w:val="both"/>
        <w:rPr>
          <w:rFonts w:cs="Arial"/>
          <w:color w:val="808080" w:themeColor="background1" w:themeShade="80"/>
        </w:rPr>
      </w:pPr>
    </w:p>
    <w:p w:rsidR="00482857" w:rsidRDefault="00482857" w:rsidP="00AB1BD2">
      <w:pPr>
        <w:jc w:val="both"/>
        <w:rPr>
          <w:rFonts w:cs="Arial"/>
          <w:color w:val="808080" w:themeColor="background1" w:themeShade="80"/>
        </w:rPr>
      </w:pPr>
    </w:p>
    <w:p w:rsidR="00482857" w:rsidRDefault="00482857" w:rsidP="00AB1BD2">
      <w:pPr>
        <w:jc w:val="both"/>
        <w:rPr>
          <w:rFonts w:cs="Arial"/>
          <w:color w:val="808080" w:themeColor="background1" w:themeShade="80"/>
        </w:rPr>
      </w:pPr>
    </w:p>
    <w:p w:rsidR="00482857" w:rsidRDefault="00482857" w:rsidP="00AB1BD2">
      <w:pPr>
        <w:jc w:val="both"/>
        <w:rPr>
          <w:rFonts w:cs="Arial"/>
          <w:color w:val="808080" w:themeColor="background1" w:themeShade="80"/>
        </w:rPr>
      </w:pPr>
    </w:p>
    <w:p w:rsidR="00482857" w:rsidRDefault="00482857" w:rsidP="00AB1BD2">
      <w:pPr>
        <w:jc w:val="both"/>
        <w:rPr>
          <w:rFonts w:cs="Arial"/>
          <w:color w:val="808080" w:themeColor="background1" w:themeShade="80"/>
        </w:rPr>
      </w:pPr>
    </w:p>
    <w:p w:rsidR="006F4743" w:rsidRDefault="006F4743" w:rsidP="00AB1BD2">
      <w:pPr>
        <w:jc w:val="both"/>
        <w:rPr>
          <w:rFonts w:cs="Arial"/>
          <w:color w:val="808080" w:themeColor="background1" w:themeShade="80"/>
        </w:rPr>
      </w:pPr>
    </w:p>
    <w:p w:rsidR="006F4743" w:rsidRDefault="006F4743" w:rsidP="00AB1BD2">
      <w:pPr>
        <w:jc w:val="both"/>
        <w:rPr>
          <w:rFonts w:cs="Arial"/>
          <w:color w:val="808080" w:themeColor="background1" w:themeShade="80"/>
        </w:rPr>
      </w:pPr>
    </w:p>
    <w:p w:rsidR="006F4743" w:rsidRDefault="006F4743" w:rsidP="00AB1BD2">
      <w:pPr>
        <w:jc w:val="both"/>
        <w:rPr>
          <w:rFonts w:cs="Arial"/>
          <w:color w:val="808080" w:themeColor="background1" w:themeShade="80"/>
        </w:rPr>
      </w:pPr>
    </w:p>
    <w:p w:rsidR="006F4743" w:rsidRDefault="006F4743" w:rsidP="00AB1BD2">
      <w:pPr>
        <w:jc w:val="both"/>
        <w:rPr>
          <w:rFonts w:cs="Arial"/>
          <w:color w:val="808080" w:themeColor="background1" w:themeShade="80"/>
        </w:rPr>
      </w:pPr>
    </w:p>
    <w:p w:rsidR="006F4743" w:rsidRDefault="006F4743" w:rsidP="00AB1BD2">
      <w:pPr>
        <w:jc w:val="both"/>
        <w:rPr>
          <w:rFonts w:cs="Arial"/>
          <w:color w:val="808080" w:themeColor="background1" w:themeShade="80"/>
        </w:rPr>
      </w:pPr>
    </w:p>
    <w:p w:rsidR="006F4743" w:rsidRDefault="00280E68" w:rsidP="006F4743">
      <w:pPr>
        <w:ind w:left="142"/>
        <w:jc w:val="both"/>
        <w:rPr>
          <w:rFonts w:cs="Arial"/>
          <w:color w:val="808080" w:themeColor="background1" w:themeShade="80"/>
        </w:rPr>
      </w:pPr>
      <w:r w:rsidRPr="00280E68">
        <w:rPr>
          <w:noProof/>
          <w:lang w:eastAsia="tr-TR"/>
        </w:rPr>
        <w:lastRenderedPageBreak/>
        <w:drawing>
          <wp:inline distT="0" distB="0" distL="0" distR="0">
            <wp:extent cx="6750685" cy="7180476"/>
            <wp:effectExtent l="0" t="0" r="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50685" cy="7180476"/>
                    </a:xfrm>
                    <a:prstGeom prst="rect">
                      <a:avLst/>
                    </a:prstGeom>
                    <a:noFill/>
                    <a:ln>
                      <a:noFill/>
                    </a:ln>
                  </pic:spPr>
                </pic:pic>
              </a:graphicData>
            </a:graphic>
          </wp:inline>
        </w:drawing>
      </w:r>
    </w:p>
    <w:p w:rsidR="006F4743" w:rsidRDefault="006F4743" w:rsidP="006F4743">
      <w:pPr>
        <w:ind w:left="142"/>
        <w:jc w:val="both"/>
        <w:rPr>
          <w:rFonts w:cs="Verdana"/>
          <w:bCs/>
          <w:i/>
          <w:sz w:val="16"/>
        </w:rPr>
      </w:pPr>
      <w:r>
        <w:rPr>
          <w:i/>
          <w:sz w:val="16"/>
        </w:rPr>
        <w:t>Kaynak</w:t>
      </w:r>
      <w:r w:rsidRPr="002B52C9">
        <w:rPr>
          <w:i/>
          <w:sz w:val="16"/>
        </w:rPr>
        <w:t>:</w:t>
      </w:r>
      <w:r>
        <w:rPr>
          <w:sz w:val="18"/>
        </w:rPr>
        <w:t xml:space="preserve"> </w:t>
      </w:r>
      <w:r>
        <w:rPr>
          <w:rFonts w:cs="Verdana"/>
          <w:bCs/>
          <w:i/>
          <w:sz w:val="16"/>
        </w:rPr>
        <w:t>Şirket</w:t>
      </w:r>
      <w:r w:rsidRPr="00A36912">
        <w:rPr>
          <w:rFonts w:cs="Verdana"/>
          <w:bCs/>
          <w:i/>
          <w:sz w:val="16"/>
        </w:rPr>
        <w:t xml:space="preserve">, AK </w:t>
      </w:r>
      <w:r>
        <w:rPr>
          <w:rFonts w:cs="Verdana"/>
          <w:bCs/>
          <w:i/>
          <w:sz w:val="16"/>
        </w:rPr>
        <w:t>Yatırım Araştırma</w:t>
      </w:r>
    </w:p>
    <w:p w:rsidR="006F4743" w:rsidRDefault="006F4743" w:rsidP="006F4743">
      <w:pPr>
        <w:ind w:left="142"/>
        <w:jc w:val="both"/>
        <w:rPr>
          <w:rFonts w:cs="Arial"/>
          <w:color w:val="808080" w:themeColor="background1" w:themeShade="80"/>
        </w:rPr>
      </w:pPr>
    </w:p>
    <w:p w:rsidR="00482857" w:rsidRDefault="00482857" w:rsidP="00AB1BD2">
      <w:pPr>
        <w:jc w:val="both"/>
        <w:rPr>
          <w:rFonts w:cs="Arial"/>
          <w:color w:val="808080" w:themeColor="background1" w:themeShade="80"/>
        </w:rPr>
      </w:pPr>
    </w:p>
    <w:p w:rsidR="00855272" w:rsidRDefault="00855272" w:rsidP="00AB1BD2">
      <w:pPr>
        <w:jc w:val="both"/>
        <w:rPr>
          <w:rFonts w:cs="Arial"/>
          <w:color w:val="808080" w:themeColor="background1" w:themeShade="80"/>
        </w:rPr>
      </w:pPr>
    </w:p>
    <w:p w:rsidR="00482857" w:rsidRDefault="00482857" w:rsidP="00AB1BD2">
      <w:pPr>
        <w:jc w:val="both"/>
        <w:rPr>
          <w:rFonts w:cs="Arial"/>
          <w:color w:val="808080" w:themeColor="background1" w:themeShade="80"/>
        </w:rPr>
      </w:pPr>
    </w:p>
    <w:p w:rsidR="00604394" w:rsidRDefault="00604394" w:rsidP="00AB1BD2">
      <w:pPr>
        <w:jc w:val="both"/>
        <w:rPr>
          <w:rFonts w:cs="Arial"/>
          <w:color w:val="808080" w:themeColor="background1" w:themeShade="80"/>
        </w:rPr>
      </w:pPr>
      <w:r>
        <w:rPr>
          <w:noProof/>
          <w:lang w:eastAsia="tr-TR"/>
        </w:rPr>
        <w:lastRenderedPageBreak/>
        <w:drawing>
          <wp:anchor distT="0" distB="0" distL="114300" distR="114300" simplePos="0" relativeHeight="251659264" behindDoc="1" locked="0" layoutInCell="1" allowOverlap="1" wp14:anchorId="2B8E1CE6" wp14:editId="05F75EE7">
            <wp:simplePos x="0" y="0"/>
            <wp:positionH relativeFrom="margin">
              <wp:posOffset>1917700</wp:posOffset>
            </wp:positionH>
            <wp:positionV relativeFrom="paragraph">
              <wp:posOffset>285750</wp:posOffset>
            </wp:positionV>
            <wp:extent cx="2779395" cy="511175"/>
            <wp:effectExtent l="0" t="0" r="1905" b="3175"/>
            <wp:wrapNone/>
            <wp:docPr id="28" name="Picture 28" descr="Akyatirim-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 descr="Akyatirim-T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79395" cy="51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4394" w:rsidRDefault="00604394" w:rsidP="00AB1BD2">
      <w:pPr>
        <w:jc w:val="both"/>
        <w:rPr>
          <w:rFonts w:cs="Arial"/>
          <w:color w:val="808080" w:themeColor="background1" w:themeShade="80"/>
        </w:rPr>
      </w:pPr>
    </w:p>
    <w:p w:rsidR="00AB1BD2" w:rsidRDefault="00AB1BD2" w:rsidP="0094422A">
      <w:pPr>
        <w:autoSpaceDE w:val="0"/>
        <w:autoSpaceDN w:val="0"/>
        <w:adjustRightInd w:val="0"/>
        <w:ind w:right="11"/>
        <w:jc w:val="both"/>
        <w:rPr>
          <w:rFonts w:cs="Arial"/>
          <w:b/>
          <w:color w:val="808080" w:themeColor="background1" w:themeShade="80"/>
        </w:rPr>
      </w:pPr>
    </w:p>
    <w:p w:rsidR="00BF1699" w:rsidRPr="00973C4E" w:rsidRDefault="00604394" w:rsidP="00DD18CC">
      <w:pPr>
        <w:spacing w:before="60" w:after="60" w:line="264" w:lineRule="auto"/>
        <w:jc w:val="both"/>
        <w:rPr>
          <w:rFonts w:ascii="Calibri" w:hAnsi="Calibri" w:cs="Palatino Linotype"/>
          <w:sz w:val="20"/>
          <w:szCs w:val="20"/>
          <w:lang w:val="en-GB"/>
        </w:rPr>
      </w:pPr>
      <w:r>
        <w:rPr>
          <w:noProof/>
          <w:lang w:eastAsia="tr-TR"/>
        </w:rPr>
        <mc:AlternateContent>
          <mc:Choice Requires="wps">
            <w:drawing>
              <wp:anchor distT="0" distB="0" distL="114300" distR="114300" simplePos="0" relativeHeight="251661312" behindDoc="0" locked="0" layoutInCell="1" allowOverlap="1" wp14:anchorId="3AEFE3DB" wp14:editId="200510A4">
                <wp:simplePos x="0" y="0"/>
                <wp:positionH relativeFrom="margin">
                  <wp:posOffset>654685</wp:posOffset>
                </wp:positionH>
                <wp:positionV relativeFrom="paragraph">
                  <wp:posOffset>156210</wp:posOffset>
                </wp:positionV>
                <wp:extent cx="5486400" cy="3255433"/>
                <wp:effectExtent l="0" t="0" r="19050" b="2159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255433"/>
                        </a:xfrm>
                        <a:prstGeom prst="rect">
                          <a:avLst/>
                        </a:prstGeom>
                        <a:solidFill>
                          <a:srgbClr val="FFFFFF"/>
                        </a:solidFill>
                        <a:ln w="9525">
                          <a:solidFill>
                            <a:srgbClr val="FF0000"/>
                          </a:solidFill>
                          <a:miter lim="800000"/>
                          <a:headEnd/>
                          <a:tailEnd/>
                        </a:ln>
                      </wps:spPr>
                      <wps:txbx>
                        <w:txbxContent>
                          <w:p w:rsidR="00604394" w:rsidRPr="00604394" w:rsidRDefault="00604394" w:rsidP="00604394">
                            <w:pPr>
                              <w:pStyle w:val="BodyText"/>
                              <w:rPr>
                                <w:sz w:val="18"/>
                                <w:lang w:val="tr-TR"/>
                              </w:rPr>
                            </w:pPr>
                            <w:r w:rsidRPr="00604394">
                              <w:rPr>
                                <w:sz w:val="18"/>
                                <w:lang w:val="tr-TR"/>
                              </w:rPr>
                              <w:t>Bu rapor, Ak Yatırım Menkul Değerler A.Ş. tarafından, güvenilir olduğuna inanılan kaynaklardan elde edilen bilgi ve veriler kullanılarak hazırlanmıştır. Raporda yer alan ifadeler, hiçbir şekilde veya suretle alış veya satış teklifi olarak değerlendirilmemelidir. Ak Yatırım, bu bilgilerin doğru, eksiksiz ve değişmez olduğunu garanti etmemektedir. Bu sebeple, okuyucuların, bu raporlardan elde edilen bilgilere dayanarak hareket etmeden önce, bilgilerin doğruluğunu teyit ettirmeleri önerilir ve bu bilgilere dayanılarak aldıkları kararlarda sorumluluk kendilerine aittir. Bilgilerin eksikliği ve yanlışlığından Ak Yatırım hiçbir şekilde sorumlu tutulamaz. Ayrıca, Ak Yatırım’ın ve Akbank’ın tüm çalışanları ve danışmanlarının, herhangi bir şekilde bilgiler dolayısıyla ortaya çıkabilecek, doğrudan veya dolaylı zararlarla ilgili herhangi bir sorumluluğu yoktur. Burada yer alan bilgiler, bir yatırım tavsiyesi, yatırım aracının alım-satım önerisi ya da getiri vaadi değildir ve Yatırım Danışmanlığı kapsamında yer almamaktadır. Yatırım Danışmanlığı hizmeti; aracı kurumlar, portföy yönetim şirketleri, mevduat kabul etmeyen bankalar ile müşteri arasında imzalanacak Yatırım Danışmanlığı sözleşmesi çerçevesinde sunulmaktadır. Bunlara ilaveten, Ak Yatırım, raporların Internet üzerinden e-mail yoluyla alınması durumunda virüs, hatalı gönderim veya diğer herhangi bir teknik sebepten dolayı alıcının donanımına veya yazılımına gelebilecek herhangi bir zarardan dolayı sorumlu tutulamaz.</w:t>
                            </w:r>
                          </w:p>
                          <w:p w:rsidR="00604394" w:rsidRPr="00604394" w:rsidRDefault="00604394" w:rsidP="00604394">
                            <w:pPr>
                              <w:jc w:val="center"/>
                              <w:rPr>
                                <w:rFonts w:ascii="Palatino Linotype" w:hAnsi="Palatino Linotype"/>
                                <w:sz w:val="18"/>
                              </w:rPr>
                            </w:pPr>
                            <w:r w:rsidRPr="00604394">
                              <w:rPr>
                                <w:rFonts w:ascii="Palatino Linotype" w:hAnsi="Palatino Linotype"/>
                                <w:sz w:val="18"/>
                              </w:rPr>
                              <w:sym w:font="Symbol" w:char="F0D3"/>
                            </w:r>
                            <w:r w:rsidRPr="00604394">
                              <w:rPr>
                                <w:rFonts w:ascii="Palatino Linotype" w:hAnsi="Palatino Linotype"/>
                                <w:sz w:val="18"/>
                              </w:rPr>
                              <w:t xml:space="preserve"> Ak Yatırım Menkul Değerler A.Ş.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FE3DB" id="_x0000_t202" coordsize="21600,21600" o:spt="202" path="m,l,21600r21600,l21600,xe">
                <v:stroke joinstyle="miter"/>
                <v:path gradientshapeok="t" o:connecttype="rect"/>
              </v:shapetype>
              <v:shape id="Text Box 29" o:spid="_x0000_s1026" type="#_x0000_t202" style="position:absolute;left:0;text-align:left;margin-left:51.55pt;margin-top:12.3pt;width:6in;height:256.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" strokecolor="red">
                <v:textbox>
                  <w:txbxContent>
                    <w:p w:rsidR="00604394" w:rsidRPr="00604394" w:rsidRDefault="00604394" w:rsidP="00604394">
                      <w:pPr>
                        <w:pStyle w:val="BodyText"/>
                        <w:rPr>
                          <w:sz w:val="18"/>
                          <w:lang w:val="tr-TR"/>
                        </w:rPr>
                      </w:pPr>
                      <w:r w:rsidRPr="00604394">
                        <w:rPr>
                          <w:sz w:val="18"/>
                          <w:lang w:val="tr-TR"/>
                        </w:rPr>
                        <w:t xml:space="preserve">Bu rapor, Ak Yatırım Menkul Değerler A.Ş. tarafından, güvenilir olduğuna inanılan kaynaklardan elde edilen bilgi ve veriler kullanılarak hazırlanmıştır. Raporda yer alan ifadeler, hiçbir şekilde veya suretle alış veya satış teklifi olarak değerlendirilmemelidir. Ak Yatırım, bu bilgilerin doğru, eksiksiz ve değişmez olduğunu garanti etmemektedir. Bu sebeple, okuyucuların, bu raporlardan elde edilen bilgilere dayanarak hareket etmeden önce, bilgilerin doğruluğunu teyit ettirmeleri önerilir ve bu bilgilere dayanılarak aldıkları kararlarda sorumluluk kendilerine aittir. Bilgilerin eksikliği ve yanlışlığından Ak Yatırım hiçbir şekilde sorumlu tutulamaz. Ayrıca, Ak Yatırım’ın ve Akbank’ın tüm çalışanları ve danışmanlarının, herhangi bir şekilde bilgiler dolayısıyla ortaya çıkabilecek, doğrudan veya dolaylı zararlarla ilgili herhangi bir sorumluluğu yoktur. Burada yer alan bilgiler, bir yatırım tavsiyesi, yatırım aracının alım-satım önerisi ya da getiri vaadi değildir ve Yatırım Danışmanlığı kapsamında yer almamaktadır. Yatırım Danışmanlığı hizmeti; aracı kurumlar, </w:t>
                      </w:r>
                      <w:proofErr w:type="gramStart"/>
                      <w:r w:rsidRPr="00604394">
                        <w:rPr>
                          <w:sz w:val="18"/>
                          <w:lang w:val="tr-TR"/>
                        </w:rPr>
                        <w:t>portföy</w:t>
                      </w:r>
                      <w:proofErr w:type="gramEnd"/>
                      <w:r w:rsidRPr="00604394">
                        <w:rPr>
                          <w:sz w:val="18"/>
                          <w:lang w:val="tr-TR"/>
                        </w:rPr>
                        <w:t xml:space="preserve"> yönetim şirketleri, mevduat kabul etmeyen bankalar ile müşteri arasında imzalanacak Yatırım Danışmanlığı sözleşmesi çerçevesinde sunulmaktadır. Bunlara ilaveten, Ak Yatırım, raporların Internet üzerinden e-mail yoluyla alınması durumunda virüs, hatalı gönderim veya diğer herhangi bir teknik sebepten dolayı alıcının donanımına veya yazılımına gelebilecek herhangi bir zarardan dolayı sorumlu tutulamaz.</w:t>
                      </w:r>
                    </w:p>
                    <w:p w:rsidR="00604394" w:rsidRPr="00604394" w:rsidRDefault="00604394" w:rsidP="00604394">
                      <w:pPr>
                        <w:jc w:val="center"/>
                        <w:rPr>
                          <w:rFonts w:ascii="Palatino Linotype" w:hAnsi="Palatino Linotype"/>
                          <w:sz w:val="18"/>
                        </w:rPr>
                      </w:pPr>
                      <w:r w:rsidRPr="00604394">
                        <w:rPr>
                          <w:rFonts w:ascii="Palatino Linotype" w:hAnsi="Palatino Linotype"/>
                          <w:sz w:val="18"/>
                        </w:rPr>
                        <w:sym w:font="Symbol" w:char="F0D3"/>
                      </w:r>
                      <w:r w:rsidRPr="00604394">
                        <w:rPr>
                          <w:rFonts w:ascii="Palatino Linotype" w:hAnsi="Palatino Linotype"/>
                          <w:sz w:val="18"/>
                        </w:rPr>
                        <w:t xml:space="preserve"> Ak Yatırım Menkul Değerler A.Ş. 2020</w:t>
                      </w:r>
                    </w:p>
                  </w:txbxContent>
                </v:textbox>
                <w10:wrap anchorx="margin"/>
              </v:shape>
            </w:pict>
          </mc:Fallback>
        </mc:AlternateContent>
      </w:r>
    </w:p>
    <w:sectPr w:rsidR="00BF1699" w:rsidRPr="00973C4E" w:rsidSect="00EF4DA2">
      <w:headerReference w:type="even" r:id="rId21"/>
      <w:headerReference w:type="default" r:id="rId22"/>
      <w:footerReference w:type="even" r:id="rId23"/>
      <w:footerReference w:type="default" r:id="rId24"/>
      <w:headerReference w:type="first" r:id="rId25"/>
      <w:footerReference w:type="first" r:id="rId26"/>
      <w:type w:val="continuous"/>
      <w:pgSz w:w="11906" w:h="16838"/>
      <w:pgMar w:top="1527" w:right="566" w:bottom="1530" w:left="709" w:header="567" w:footer="170" w:gutter="0"/>
      <w:cols w:space="14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0CA" w:rsidRDefault="003000CA" w:rsidP="00A30E14">
      <w:pPr>
        <w:spacing w:after="0" w:line="240" w:lineRule="auto"/>
      </w:pPr>
      <w:r>
        <w:separator/>
      </w:r>
    </w:p>
  </w:endnote>
  <w:endnote w:type="continuationSeparator" w:id="0">
    <w:p w:rsidR="003000CA" w:rsidRDefault="003000CA" w:rsidP="00A30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Palatino Linotype">
    <w:panose1 w:val="02040502050505030304"/>
    <w:charset w:val="A2"/>
    <w:family w:val="roman"/>
    <w:pitch w:val="variable"/>
    <w:sig w:usb0="E0000287" w:usb1="40000013" w:usb2="00000000" w:usb3="00000000" w:csb0="0000019F" w:csb1="00000000"/>
  </w:font>
  <w:font w:name="Arial Black">
    <w:panose1 w:val="020B0A04020102020204"/>
    <w:charset w:val="A2"/>
    <w:family w:val="swiss"/>
    <w:pitch w:val="variable"/>
    <w:sig w:usb0="A00002AF" w:usb1="400078FB" w:usb2="00000000" w:usb3="00000000" w:csb0="0000009F" w:csb1="00000000"/>
  </w:font>
  <w:font w:name="Calibri-Bold">
    <w:altName w:val="MS Mincho"/>
    <w:panose1 w:val="00000000000000000000"/>
    <w:charset w:val="80"/>
    <w:family w:val="auto"/>
    <w:notTrueType/>
    <w:pitch w:val="default"/>
    <w:sig w:usb0="00000003" w:usb1="08070000" w:usb2="00000010" w:usb3="00000000" w:csb0="00020001"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DA2" w:rsidRDefault="00855272" w:rsidP="00855272">
    <w:pPr>
      <w:pStyle w:val="Footer"/>
      <w:ind w:left="-540" w:right="-726"/>
      <w:rPr>
        <w:rFonts w:ascii="Century Gothic" w:hAnsi="Century Gothic"/>
        <w:color w:val="000000"/>
        <w:sz w:val="17"/>
        <w:szCs w:val="18"/>
      </w:rPr>
    </w:pPr>
    <w:bookmarkStart w:id="0" w:name="TITUS1FooterEvenPages"/>
    <w:r>
      <w:rPr>
        <w:rFonts w:ascii="Century Gothic" w:hAnsi="Century Gothic"/>
        <w:color w:val="000000"/>
        <w:sz w:val="17"/>
        <w:szCs w:val="18"/>
      </w:rPr>
      <w:t> </w:t>
    </w:r>
  </w:p>
  <w:bookmarkEnd w:id="0"/>
  <w:p w:rsidR="00EF4DA2" w:rsidRPr="00EA7CD1" w:rsidRDefault="00EF4DA2" w:rsidP="00EF4DA2">
    <w:pPr>
      <w:pStyle w:val="Footer"/>
      <w:ind w:left="-540" w:right="-726"/>
      <w:jc w:val="both"/>
      <w:rPr>
        <w:sz w:val="18"/>
        <w:szCs w:val="18"/>
      </w:rPr>
    </w:pPr>
    <w:r w:rsidRPr="00555CD4">
      <w:rPr>
        <w:b/>
        <w:bCs/>
        <w:noProof/>
        <w:lang w:eastAsia="tr-TR"/>
      </w:rPr>
      <mc:AlternateContent>
        <mc:Choice Requires="wps">
          <w:drawing>
            <wp:anchor distT="0" distB="0" distL="114300" distR="114300" simplePos="0" relativeHeight="251682816" behindDoc="0" locked="0" layoutInCell="1" allowOverlap="1" wp14:anchorId="615F1F44" wp14:editId="193F55A3">
              <wp:simplePos x="0" y="0"/>
              <wp:positionH relativeFrom="column">
                <wp:posOffset>-405130</wp:posOffset>
              </wp:positionH>
              <wp:positionV relativeFrom="paragraph">
                <wp:posOffset>-96471</wp:posOffset>
              </wp:positionV>
              <wp:extent cx="6806565" cy="76200"/>
              <wp:effectExtent l="0" t="0" r="0" b="0"/>
              <wp:wrapNone/>
              <wp:docPr id="1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6565" cy="76200"/>
                      </a:xfrm>
                      <a:prstGeom prst="rect">
                        <a:avLst/>
                      </a:prstGeom>
                      <a:solidFill>
                        <a:srgbClr val="FF0000"/>
                      </a:solidFill>
                      <a:ln>
                        <a:noFill/>
                      </a:ln>
                      <a:extLst>
                        <a:ext uri="{91240B29-F687-4F45-9708-019B960494DF}">
                          <a14:hiddenLine xmlns:a14="http://schemas.microsoft.com/office/drawing/2010/main" w="9525">
                            <a:solidFill>
                              <a:srgbClr val="DDDDDD"/>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FDFBE" id="Rectangle 1" o:spid="_x0000_s1026" style="position:absolute;margin-left:-31.9pt;margin-top:-7.6pt;width:535.95pt;height: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" fillcolor="red" stroked="f" strokecolor="#ddd"/>
          </w:pict>
        </mc:Fallback>
      </mc:AlternateContent>
    </w:r>
    <w:r w:rsidRPr="00EA7CD1">
      <w:rPr>
        <w:rFonts w:ascii="Century Gothic" w:hAnsi="Century Gothic"/>
        <w:b/>
        <w:sz w:val="18"/>
        <w:szCs w:val="18"/>
      </w:rPr>
      <w:t>Please see penultimate page for additional important disclosures</w:t>
    </w:r>
    <w:r w:rsidRPr="00EA7CD1">
      <w:rPr>
        <w:rFonts w:ascii="Century Gothic" w:hAnsi="Century Gothic"/>
        <w:sz w:val="18"/>
        <w:szCs w:val="18"/>
      </w:rPr>
      <w:t xml:space="preserve">. Ak Yatirim Menkul </w:t>
    </w:r>
    <w:r>
      <w:rPr>
        <w:rFonts w:ascii="Century Gothic" w:hAnsi="Century Gothic"/>
        <w:sz w:val="18"/>
        <w:szCs w:val="18"/>
      </w:rPr>
      <w:t>Degerler A.S. (“AK INVESTMENT”)</w:t>
    </w:r>
    <w:r w:rsidRPr="00EA7CD1">
      <w:rPr>
        <w:rFonts w:ascii="Century Gothic" w:hAnsi="Century Gothic"/>
        <w:sz w:val="18"/>
        <w:szCs w:val="18"/>
      </w:rPr>
      <w:t xml:space="preserve"> is a foreign broker-</w:t>
    </w:r>
    <w:r>
      <w:rPr>
        <w:rFonts w:ascii="Century Gothic" w:hAnsi="Century Gothic"/>
        <w:sz w:val="18"/>
        <w:szCs w:val="18"/>
      </w:rPr>
      <w:t>dealer unregistered in the USA.</w:t>
    </w:r>
    <w:r w:rsidRPr="00EA7CD1">
      <w:rPr>
        <w:rFonts w:ascii="Century Gothic" w:hAnsi="Century Gothic"/>
        <w:sz w:val="18"/>
        <w:szCs w:val="18"/>
      </w:rPr>
      <w:t xml:space="preserve"> AK INVESTMENT research is prepared by research analysts who are not registered in the USA.  AK INVESTMENT research is distributed in the USA pursuant to Rule 15a-6 of the Securities Exchange Act of 1934 solely by Rosenblatt Securities Inc, an SEC registered and FINRA-member broker-dealer.</w:t>
    </w:r>
  </w:p>
  <w:p w:rsidR="00EF4DA2" w:rsidRDefault="00EF4DA2" w:rsidP="00EF4DA2">
    <w:pPr>
      <w:pStyle w:val="Footer"/>
      <w:ind w:left="-270" w:right="-726"/>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DA2" w:rsidRDefault="00855272" w:rsidP="00855272">
    <w:pPr>
      <w:pStyle w:val="Footer"/>
      <w:ind w:left="-540" w:right="-726"/>
      <w:rPr>
        <w:rFonts w:ascii="Century Gothic" w:hAnsi="Century Gothic"/>
        <w:color w:val="000000"/>
        <w:sz w:val="17"/>
        <w:szCs w:val="18"/>
      </w:rPr>
    </w:pPr>
    <w:bookmarkStart w:id="1" w:name="TITUS1FooterPrimary"/>
    <w:r>
      <w:rPr>
        <w:rFonts w:ascii="Century Gothic" w:hAnsi="Century Gothic"/>
        <w:color w:val="000000"/>
        <w:sz w:val="17"/>
        <w:szCs w:val="18"/>
      </w:rPr>
      <w:t> </w:t>
    </w:r>
  </w:p>
  <w:bookmarkEnd w:id="1"/>
  <w:p w:rsidR="00555CD4" w:rsidRPr="00EA7CD1" w:rsidRDefault="009C52FF" w:rsidP="00555CD4">
    <w:pPr>
      <w:pStyle w:val="Footer"/>
      <w:ind w:left="-540" w:right="-726"/>
      <w:jc w:val="both"/>
      <w:rPr>
        <w:sz w:val="18"/>
        <w:szCs w:val="18"/>
      </w:rPr>
    </w:pPr>
    <w:r w:rsidRPr="00555CD4">
      <w:rPr>
        <w:b/>
        <w:bCs/>
        <w:noProof/>
        <w:lang w:eastAsia="tr-TR"/>
      </w:rPr>
      <mc:AlternateContent>
        <mc:Choice Requires="wps">
          <w:drawing>
            <wp:anchor distT="0" distB="0" distL="114300" distR="114300" simplePos="0" relativeHeight="251645440" behindDoc="0" locked="0" layoutInCell="1" allowOverlap="1" wp14:anchorId="6D07672B" wp14:editId="500DD3C2">
              <wp:simplePos x="0" y="0"/>
              <wp:positionH relativeFrom="column">
                <wp:posOffset>-405130</wp:posOffset>
              </wp:positionH>
              <wp:positionV relativeFrom="paragraph">
                <wp:posOffset>-96471</wp:posOffset>
              </wp:positionV>
              <wp:extent cx="6806565" cy="76200"/>
              <wp:effectExtent l="0" t="0" r="0" b="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6565" cy="76200"/>
                      </a:xfrm>
                      <a:prstGeom prst="rect">
                        <a:avLst/>
                      </a:prstGeom>
                      <a:solidFill>
                        <a:srgbClr val="FF0000"/>
                      </a:solidFill>
                      <a:ln>
                        <a:noFill/>
                      </a:ln>
                      <a:extLst>
                        <a:ext uri="{91240B29-F687-4F45-9708-019B960494DF}">
                          <a14:hiddenLine xmlns:a14="http://schemas.microsoft.com/office/drawing/2010/main" w="9525">
                            <a:solidFill>
                              <a:srgbClr val="DDDDDD"/>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B2DF9" id="Rectangle 1" o:spid="_x0000_s1026" style="position:absolute;margin-left:-31.9pt;margin-top:-7.6pt;width:535.95pt;height: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" fillcolor="red" stroked="f" strokecolor="#ddd"/>
          </w:pict>
        </mc:Fallback>
      </mc:AlternateContent>
    </w:r>
    <w:r w:rsidR="00555CD4" w:rsidRPr="00EA7CD1">
      <w:rPr>
        <w:rFonts w:ascii="Century Gothic" w:hAnsi="Century Gothic"/>
        <w:b/>
        <w:sz w:val="18"/>
        <w:szCs w:val="18"/>
      </w:rPr>
      <w:t>Please see penultimate page for additional important disclosures</w:t>
    </w:r>
    <w:r w:rsidR="00555CD4" w:rsidRPr="00EA7CD1">
      <w:rPr>
        <w:rFonts w:ascii="Century Gothic" w:hAnsi="Century Gothic"/>
        <w:sz w:val="18"/>
        <w:szCs w:val="18"/>
      </w:rPr>
      <w:t xml:space="preserve">. Ak Yatirim Menkul </w:t>
    </w:r>
    <w:r w:rsidR="00096E0F">
      <w:rPr>
        <w:rFonts w:ascii="Century Gothic" w:hAnsi="Century Gothic"/>
        <w:sz w:val="18"/>
        <w:szCs w:val="18"/>
      </w:rPr>
      <w:t>Degerler A.S. (“AK INVESTMENT”)</w:t>
    </w:r>
    <w:r w:rsidR="00555CD4" w:rsidRPr="00EA7CD1">
      <w:rPr>
        <w:rFonts w:ascii="Century Gothic" w:hAnsi="Century Gothic"/>
        <w:sz w:val="18"/>
        <w:szCs w:val="18"/>
      </w:rPr>
      <w:t xml:space="preserve"> is a foreign broker-</w:t>
    </w:r>
    <w:r w:rsidR="003D6453">
      <w:rPr>
        <w:rFonts w:ascii="Century Gothic" w:hAnsi="Century Gothic"/>
        <w:sz w:val="18"/>
        <w:szCs w:val="18"/>
      </w:rPr>
      <w:t>dealer unregistered in the USA.</w:t>
    </w:r>
    <w:r w:rsidR="00555CD4" w:rsidRPr="00EA7CD1">
      <w:rPr>
        <w:rFonts w:ascii="Century Gothic" w:hAnsi="Century Gothic"/>
        <w:sz w:val="18"/>
        <w:szCs w:val="18"/>
      </w:rPr>
      <w:t xml:space="preserve"> AK INVESTMENT research is prepared by research analysts who are not registered in the USA.  AK INVESTMENT research is distributed in the USA pursuant to Rule 15a-6 of the Securities Exchange Act of 1934 solely by Rosenblatt Securities Inc, an SEC registered and FINRA-member broker-dealer.</w:t>
    </w:r>
  </w:p>
  <w:p w:rsidR="00E72405" w:rsidRDefault="00E72405" w:rsidP="00555CD4">
    <w:pPr>
      <w:pStyle w:val="Footer"/>
      <w:ind w:left="-270" w:right="-726"/>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TITUS1FooterFirstPage"/>
  <w:p w:rsidR="00EF4DA2" w:rsidRDefault="005F46CE" w:rsidP="00855272">
    <w:pPr>
      <w:pStyle w:val="Footer"/>
      <w:ind w:left="-540" w:right="-726"/>
      <w:rPr>
        <w:rFonts w:ascii="Century Gothic" w:hAnsi="Century Gothic"/>
        <w:color w:val="000000"/>
        <w:sz w:val="17"/>
        <w:szCs w:val="18"/>
      </w:rPr>
    </w:pPr>
    <w:r w:rsidRPr="00555CD4">
      <w:rPr>
        <w:b/>
        <w:bCs/>
        <w:noProof/>
        <w:lang w:eastAsia="tr-TR"/>
      </w:rPr>
      <mc:AlternateContent>
        <mc:Choice Requires="wps">
          <w:drawing>
            <wp:anchor distT="0" distB="0" distL="114300" distR="114300" simplePos="0" relativeHeight="251667968" behindDoc="0" locked="0" layoutInCell="1" allowOverlap="1" wp14:anchorId="7AE983A4" wp14:editId="6B6C23F6">
              <wp:simplePos x="0" y="0"/>
              <wp:positionH relativeFrom="column">
                <wp:posOffset>-314960</wp:posOffset>
              </wp:positionH>
              <wp:positionV relativeFrom="paragraph">
                <wp:posOffset>38735</wp:posOffset>
              </wp:positionV>
              <wp:extent cx="6760845" cy="75600"/>
              <wp:effectExtent l="0" t="0" r="1905" b="635"/>
              <wp:wrapNone/>
              <wp:docPr id="1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0845" cy="75600"/>
                      </a:xfrm>
                      <a:prstGeom prst="rect">
                        <a:avLst/>
                      </a:prstGeom>
                      <a:solidFill>
                        <a:srgbClr val="FF0000"/>
                      </a:solidFill>
                      <a:ln>
                        <a:noFill/>
                      </a:ln>
                      <a:extLst>
                        <a:ext uri="{91240B29-F687-4F45-9708-019B960494DF}">
                          <a14:hiddenLine xmlns:a14="http://schemas.microsoft.com/office/drawing/2010/main" w="9525">
                            <a:solidFill>
                              <a:srgbClr val="DDDDDD"/>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6CF13" id="Rectangle 1" o:spid="_x0000_s1026" style="position:absolute;margin-left:-24.8pt;margin-top:3.05pt;width:532.35pt;height:5.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" fillcolor="red" stroked="f" strokecolor="#ddd"/>
          </w:pict>
        </mc:Fallback>
      </mc:AlternateContent>
    </w:r>
    <w:r w:rsidR="00855272">
      <w:rPr>
        <w:rFonts w:ascii="Century Gothic" w:hAnsi="Century Gothic"/>
        <w:color w:val="000000"/>
        <w:sz w:val="17"/>
        <w:szCs w:val="18"/>
      </w:rPr>
      <w:t> </w:t>
    </w:r>
  </w:p>
  <w:bookmarkEnd w:id="2"/>
  <w:p w:rsidR="00EF4DA2" w:rsidRPr="00EA7CD1" w:rsidRDefault="00EF4DA2" w:rsidP="005F46CE">
    <w:pPr>
      <w:pStyle w:val="Footer"/>
      <w:ind w:left="-540" w:right="-852"/>
      <w:jc w:val="both"/>
      <w:rPr>
        <w:sz w:val="18"/>
        <w:szCs w:val="18"/>
      </w:rPr>
    </w:pPr>
  </w:p>
  <w:p w:rsidR="00EF4DA2" w:rsidRDefault="00EF4DA2" w:rsidP="00EF4DA2">
    <w:pPr>
      <w:pStyle w:val="Footer"/>
      <w:ind w:left="-270" w:right="-726"/>
      <w:jc w:val="both"/>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DA2" w:rsidRDefault="00855272" w:rsidP="00855272">
    <w:pPr>
      <w:pStyle w:val="Footer"/>
      <w:rPr>
        <w:color w:val="000000"/>
        <w:sz w:val="17"/>
        <w:szCs w:val="16"/>
      </w:rPr>
    </w:pPr>
    <w:bookmarkStart w:id="4" w:name="TITUS2FooterEvenPages"/>
    <w:r>
      <w:rPr>
        <w:color w:val="000000"/>
        <w:sz w:val="17"/>
        <w:szCs w:val="16"/>
      </w:rPr>
      <w:t> </w:t>
    </w:r>
  </w:p>
  <w:bookmarkEnd w:id="4"/>
  <w:p w:rsidR="00EF4DA2" w:rsidRPr="001362F7" w:rsidRDefault="00EF4DA2" w:rsidP="00EF4DA2">
    <w:pPr>
      <w:pStyle w:val="Footer"/>
      <w:jc w:val="center"/>
      <w:rPr>
        <w:sz w:val="16"/>
        <w:szCs w:val="16"/>
      </w:rPr>
    </w:pPr>
    <w:r>
      <w:rPr>
        <w:noProof/>
        <w:lang w:eastAsia="tr-TR"/>
      </w:rPr>
      <mc:AlternateContent>
        <mc:Choice Requires="wps">
          <w:drawing>
            <wp:anchor distT="0" distB="0" distL="114300" distR="114300" simplePos="0" relativeHeight="251671040" behindDoc="0" locked="0" layoutInCell="1" allowOverlap="1" wp14:anchorId="6E757D84" wp14:editId="2C5D25EB">
              <wp:simplePos x="0" y="0"/>
              <wp:positionH relativeFrom="column">
                <wp:posOffset>54610</wp:posOffset>
              </wp:positionH>
              <wp:positionV relativeFrom="paragraph">
                <wp:posOffset>-126365</wp:posOffset>
              </wp:positionV>
              <wp:extent cx="6806565" cy="76200"/>
              <wp:effectExtent l="0" t="0" r="0" b="0"/>
              <wp:wrapNone/>
              <wp:docPr id="2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6565" cy="76200"/>
                      </a:xfrm>
                      <a:prstGeom prst="rect">
                        <a:avLst/>
                      </a:prstGeom>
                      <a:solidFill>
                        <a:srgbClr val="FF0000"/>
                      </a:solidFill>
                      <a:ln>
                        <a:noFill/>
                      </a:ln>
                      <a:extLst>
                        <a:ext uri="{91240B29-F687-4F45-9708-019B960494DF}">
                          <a14:hiddenLine xmlns:a14="http://schemas.microsoft.com/office/drawing/2010/main" w="9525">
                            <a:solidFill>
                              <a:srgbClr val="DDDDDD"/>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C3B83" id="Rectangle 9" o:spid="_x0000_s1026" style="position:absolute;margin-left:4.3pt;margin-top:-9.95pt;width:535.95pt;height: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" fillcolor="red" stroked="f" strokecolor="#ddd"/>
          </w:pict>
        </mc:Fallback>
      </mc:AlternateContent>
    </w:r>
  </w:p>
  <w:p w:rsidR="00EF4DA2" w:rsidRDefault="00EF4DA2" w:rsidP="00EF4DA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DA2" w:rsidRDefault="00855272" w:rsidP="00855272">
    <w:pPr>
      <w:pStyle w:val="Footer"/>
      <w:rPr>
        <w:color w:val="000000"/>
        <w:sz w:val="17"/>
        <w:szCs w:val="16"/>
      </w:rPr>
    </w:pPr>
    <w:bookmarkStart w:id="5" w:name="TITUS2FooterPrimary"/>
    <w:r>
      <w:rPr>
        <w:color w:val="000000"/>
        <w:sz w:val="17"/>
        <w:szCs w:val="16"/>
      </w:rPr>
      <w:t> </w:t>
    </w:r>
  </w:p>
  <w:bookmarkEnd w:id="5"/>
  <w:p w:rsidR="00E72405" w:rsidRPr="001362F7" w:rsidRDefault="009C52FF" w:rsidP="0049406B">
    <w:pPr>
      <w:pStyle w:val="Footer"/>
      <w:jc w:val="center"/>
      <w:rPr>
        <w:sz w:val="16"/>
        <w:szCs w:val="16"/>
      </w:rPr>
    </w:pPr>
    <w:r>
      <w:rPr>
        <w:noProof/>
        <w:lang w:eastAsia="tr-TR"/>
      </w:rPr>
      <mc:AlternateContent>
        <mc:Choice Requires="wps">
          <w:drawing>
            <wp:anchor distT="0" distB="0" distL="114300" distR="114300" simplePos="0" relativeHeight="251664896" behindDoc="0" locked="0" layoutInCell="1" allowOverlap="1" wp14:anchorId="01B905B7" wp14:editId="321CE006">
              <wp:simplePos x="0" y="0"/>
              <wp:positionH relativeFrom="column">
                <wp:posOffset>54610</wp:posOffset>
              </wp:positionH>
              <wp:positionV relativeFrom="paragraph">
                <wp:posOffset>-126365</wp:posOffset>
              </wp:positionV>
              <wp:extent cx="6806565" cy="7620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6565" cy="76200"/>
                      </a:xfrm>
                      <a:prstGeom prst="rect">
                        <a:avLst/>
                      </a:prstGeom>
                      <a:solidFill>
                        <a:srgbClr val="FF0000"/>
                      </a:solidFill>
                      <a:ln>
                        <a:noFill/>
                      </a:ln>
                      <a:extLst>
                        <a:ext uri="{91240B29-F687-4F45-9708-019B960494DF}">
                          <a14:hiddenLine xmlns:a14="http://schemas.microsoft.com/office/drawing/2010/main" w="9525">
                            <a:solidFill>
                              <a:srgbClr val="DDDDDD"/>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AA776" id="Rectangle 9" o:spid="_x0000_s1026" style="position:absolute;margin-left:4.3pt;margin-top:-9.95pt;width:535.95pt;height: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" fillcolor="red" stroked="f" strokecolor="#ddd"/>
          </w:pict>
        </mc:Fallback>
      </mc:AlternateContent>
    </w:r>
  </w:p>
  <w:p w:rsidR="00E72405" w:rsidRDefault="00E7240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DA2" w:rsidRDefault="00855272" w:rsidP="00855272">
    <w:pPr>
      <w:pStyle w:val="Footer"/>
      <w:rPr>
        <w:color w:val="000000"/>
        <w:sz w:val="17"/>
        <w:szCs w:val="16"/>
      </w:rPr>
    </w:pPr>
    <w:bookmarkStart w:id="6" w:name="TITUS2FooterFirstPage"/>
    <w:r>
      <w:rPr>
        <w:color w:val="000000"/>
        <w:sz w:val="17"/>
        <w:szCs w:val="16"/>
      </w:rPr>
      <w:t> </w:t>
    </w:r>
  </w:p>
  <w:bookmarkEnd w:id="6"/>
  <w:p w:rsidR="00EF4DA2" w:rsidRPr="001362F7" w:rsidRDefault="00EF4DA2" w:rsidP="00EF4DA2">
    <w:pPr>
      <w:pStyle w:val="Footer"/>
      <w:jc w:val="center"/>
      <w:rPr>
        <w:sz w:val="16"/>
        <w:szCs w:val="16"/>
      </w:rPr>
    </w:pPr>
    <w:r>
      <w:rPr>
        <w:noProof/>
        <w:lang w:eastAsia="tr-TR"/>
      </w:rPr>
      <mc:AlternateContent>
        <mc:Choice Requires="wps">
          <w:drawing>
            <wp:anchor distT="0" distB="0" distL="114300" distR="114300" simplePos="0" relativeHeight="251693056" behindDoc="0" locked="0" layoutInCell="1" allowOverlap="1" wp14:anchorId="241CDC75" wp14:editId="02423313">
              <wp:simplePos x="0" y="0"/>
              <wp:positionH relativeFrom="column">
                <wp:posOffset>54610</wp:posOffset>
              </wp:positionH>
              <wp:positionV relativeFrom="paragraph">
                <wp:posOffset>-126365</wp:posOffset>
              </wp:positionV>
              <wp:extent cx="6806565" cy="76200"/>
              <wp:effectExtent l="0" t="0" r="0" b="0"/>
              <wp:wrapNone/>
              <wp:docPr id="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6565" cy="76200"/>
                      </a:xfrm>
                      <a:prstGeom prst="rect">
                        <a:avLst/>
                      </a:prstGeom>
                      <a:solidFill>
                        <a:srgbClr val="FF0000"/>
                      </a:solidFill>
                      <a:ln>
                        <a:noFill/>
                      </a:ln>
                      <a:extLst>
                        <a:ext uri="{91240B29-F687-4F45-9708-019B960494DF}">
                          <a14:hiddenLine xmlns:a14="http://schemas.microsoft.com/office/drawing/2010/main" w="9525">
                            <a:solidFill>
                              <a:srgbClr val="DDDDDD"/>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B21C0" id="Rectangle 9" o:spid="_x0000_s1026" style="position:absolute;margin-left:4.3pt;margin-top:-9.95pt;width:535.95pt;height: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" fillcolor="red" stroked="f" strokecolor="#ddd"/>
          </w:pict>
        </mc:Fallback>
      </mc:AlternateContent>
    </w:r>
  </w:p>
  <w:p w:rsidR="00EF4DA2" w:rsidRDefault="00EF4DA2" w:rsidP="00EF4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0CA" w:rsidRDefault="003000CA" w:rsidP="00A30E14">
      <w:pPr>
        <w:spacing w:after="0" w:line="240" w:lineRule="auto"/>
      </w:pPr>
      <w:r>
        <w:separator/>
      </w:r>
    </w:p>
  </w:footnote>
  <w:footnote w:type="continuationSeparator" w:id="0">
    <w:p w:rsidR="003000CA" w:rsidRDefault="003000CA" w:rsidP="00A30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63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10632"/>
    </w:tblGrid>
    <w:tr w:rsidR="00EF4DA2" w:rsidTr="006D6A36">
      <w:trPr>
        <w:trHeight w:val="907"/>
      </w:trPr>
      <w:tc>
        <w:tcPr>
          <w:tcW w:w="10632" w:type="dxa"/>
          <w:shd w:val="clear" w:color="auto" w:fill="FF0000"/>
        </w:tcPr>
        <w:p w:rsidR="00EF4DA2" w:rsidRDefault="00EF4DA2">
          <w:pPr>
            <w:pStyle w:val="Header"/>
          </w:pPr>
          <w:r>
            <w:rPr>
              <w:noProof/>
              <w:lang w:eastAsia="tr-TR"/>
            </w:rPr>
            <w:drawing>
              <wp:anchor distT="0" distB="0" distL="114300" distR="114300" simplePos="0" relativeHeight="251680768" behindDoc="0" locked="0" layoutInCell="1" allowOverlap="1" wp14:anchorId="62CCF7E0" wp14:editId="6C4E3F16">
                <wp:simplePos x="0" y="0"/>
                <wp:positionH relativeFrom="column">
                  <wp:posOffset>4371975</wp:posOffset>
                </wp:positionH>
                <wp:positionV relativeFrom="paragraph">
                  <wp:posOffset>149225</wp:posOffset>
                </wp:positionV>
                <wp:extent cx="2312035" cy="241300"/>
                <wp:effectExtent l="19050" t="0" r="0" b="0"/>
                <wp:wrapNone/>
                <wp:docPr id="17" name="Picture 2" descr="beyaz-akinves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yaz-akinvestment"/>
                        <pic:cNvPicPr>
                          <a:picLocks noChangeAspect="1" noChangeArrowheads="1"/>
                        </pic:cNvPicPr>
                      </pic:nvPicPr>
                      <pic:blipFill>
                        <a:blip r:embed="rId1"/>
                        <a:srcRect/>
                        <a:stretch>
                          <a:fillRect/>
                        </a:stretch>
                      </pic:blipFill>
                      <pic:spPr bwMode="auto">
                        <a:xfrm>
                          <a:off x="0" y="0"/>
                          <a:ext cx="2312035" cy="241300"/>
                        </a:xfrm>
                        <a:prstGeom prst="rect">
                          <a:avLst/>
                        </a:prstGeom>
                        <a:noFill/>
                        <a:ln w="9525">
                          <a:noFill/>
                          <a:miter lim="800000"/>
                          <a:headEnd/>
                          <a:tailEnd/>
                        </a:ln>
                      </pic:spPr>
                    </pic:pic>
                  </a:graphicData>
                </a:graphic>
              </wp:anchor>
            </w:drawing>
          </w:r>
        </w:p>
        <w:p w:rsidR="00EF4DA2" w:rsidRPr="002C7447" w:rsidRDefault="00EF4DA2" w:rsidP="002C7447">
          <w:pPr>
            <w:tabs>
              <w:tab w:val="left" w:pos="6855"/>
            </w:tabs>
          </w:pPr>
          <w:r>
            <w:tab/>
          </w:r>
        </w:p>
      </w:tc>
    </w:tr>
  </w:tbl>
  <w:p w:rsidR="00EF4DA2" w:rsidRPr="00DE5E62" w:rsidRDefault="00EF4DA2" w:rsidP="00EF4DA2">
    <w:pPr>
      <w:pStyle w:val="Header"/>
      <w:rPr>
        <w:sz w:val="2"/>
        <w:szCs w:val="2"/>
      </w:rPr>
    </w:pPr>
    <w:r w:rsidRPr="00DE5E62">
      <w:rPr>
        <w:noProof/>
        <w:sz w:val="2"/>
        <w:szCs w:val="2"/>
        <w:lang w:eastAsia="tr-TR"/>
      </w:rPr>
      <w:drawing>
        <wp:anchor distT="0" distB="0" distL="114300" distR="114300" simplePos="0" relativeHeight="251679744" behindDoc="0" locked="0" layoutInCell="1" allowOverlap="1" wp14:anchorId="10D732B8" wp14:editId="2AC17CE9">
          <wp:simplePos x="0" y="0"/>
          <wp:positionH relativeFrom="column">
            <wp:posOffset>1915414</wp:posOffset>
          </wp:positionH>
          <wp:positionV relativeFrom="paragraph">
            <wp:posOffset>2443277</wp:posOffset>
          </wp:positionV>
          <wp:extent cx="2312289" cy="241401"/>
          <wp:effectExtent l="19050" t="0" r="0" b="0"/>
          <wp:wrapNone/>
          <wp:docPr id="18" name="Picture 18" descr="beyaz-akinves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yaz-akinvestment"/>
                  <pic:cNvPicPr>
                    <a:picLocks noChangeAspect="1" noChangeArrowheads="1"/>
                  </pic:cNvPicPr>
                </pic:nvPicPr>
                <pic:blipFill>
                  <a:blip r:embed="rId1"/>
                  <a:srcRect/>
                  <a:stretch>
                    <a:fillRect/>
                  </a:stretch>
                </pic:blipFill>
                <pic:spPr bwMode="auto">
                  <a:xfrm>
                    <a:off x="0" y="0"/>
                    <a:ext cx="2312289" cy="241401"/>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63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10632"/>
    </w:tblGrid>
    <w:tr w:rsidR="00E72405" w:rsidTr="006D6A36">
      <w:trPr>
        <w:trHeight w:val="907"/>
      </w:trPr>
      <w:tc>
        <w:tcPr>
          <w:tcW w:w="10632" w:type="dxa"/>
          <w:shd w:val="clear" w:color="auto" w:fill="FF0000"/>
        </w:tcPr>
        <w:p w:rsidR="00E72405" w:rsidRDefault="00E72405">
          <w:pPr>
            <w:pStyle w:val="Header"/>
          </w:pPr>
          <w:r>
            <w:rPr>
              <w:noProof/>
              <w:lang w:eastAsia="tr-TR"/>
            </w:rPr>
            <w:drawing>
              <wp:anchor distT="0" distB="0" distL="114300" distR="114300" simplePos="0" relativeHeight="251649536" behindDoc="0" locked="0" layoutInCell="1" allowOverlap="1" wp14:anchorId="3B91624F" wp14:editId="5375472A">
                <wp:simplePos x="0" y="0"/>
                <wp:positionH relativeFrom="column">
                  <wp:posOffset>4371975</wp:posOffset>
                </wp:positionH>
                <wp:positionV relativeFrom="paragraph">
                  <wp:posOffset>149225</wp:posOffset>
                </wp:positionV>
                <wp:extent cx="2312035" cy="241300"/>
                <wp:effectExtent l="19050" t="0" r="0" b="0"/>
                <wp:wrapNone/>
                <wp:docPr id="11" name="Picture 2" descr="beyaz-akinves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yaz-akinvestment"/>
                        <pic:cNvPicPr>
                          <a:picLocks noChangeAspect="1" noChangeArrowheads="1"/>
                        </pic:cNvPicPr>
                      </pic:nvPicPr>
                      <pic:blipFill>
                        <a:blip r:embed="rId1"/>
                        <a:srcRect/>
                        <a:stretch>
                          <a:fillRect/>
                        </a:stretch>
                      </pic:blipFill>
                      <pic:spPr bwMode="auto">
                        <a:xfrm>
                          <a:off x="0" y="0"/>
                          <a:ext cx="2312035" cy="241300"/>
                        </a:xfrm>
                        <a:prstGeom prst="rect">
                          <a:avLst/>
                        </a:prstGeom>
                        <a:noFill/>
                        <a:ln w="9525">
                          <a:noFill/>
                          <a:miter lim="800000"/>
                          <a:headEnd/>
                          <a:tailEnd/>
                        </a:ln>
                      </pic:spPr>
                    </pic:pic>
                  </a:graphicData>
                </a:graphic>
              </wp:anchor>
            </w:drawing>
          </w:r>
        </w:p>
        <w:p w:rsidR="00E72405" w:rsidRPr="002C7447" w:rsidRDefault="00E72405" w:rsidP="002C7447">
          <w:pPr>
            <w:tabs>
              <w:tab w:val="left" w:pos="6855"/>
            </w:tabs>
          </w:pPr>
          <w:r>
            <w:tab/>
          </w:r>
        </w:p>
      </w:tc>
    </w:tr>
  </w:tbl>
  <w:p w:rsidR="00E72405" w:rsidRPr="00DE5E62" w:rsidRDefault="00E72405">
    <w:pPr>
      <w:pStyle w:val="Header"/>
      <w:rPr>
        <w:sz w:val="2"/>
        <w:szCs w:val="2"/>
      </w:rPr>
    </w:pPr>
    <w:r w:rsidRPr="00DE5E62">
      <w:rPr>
        <w:noProof/>
        <w:sz w:val="2"/>
        <w:szCs w:val="2"/>
        <w:lang w:eastAsia="tr-TR"/>
      </w:rPr>
      <w:drawing>
        <wp:anchor distT="0" distB="0" distL="114300" distR="114300" simplePos="0" relativeHeight="251647488" behindDoc="0" locked="0" layoutInCell="1" allowOverlap="1" wp14:anchorId="553807A0" wp14:editId="61895825">
          <wp:simplePos x="0" y="0"/>
          <wp:positionH relativeFrom="column">
            <wp:posOffset>1915414</wp:posOffset>
          </wp:positionH>
          <wp:positionV relativeFrom="paragraph">
            <wp:posOffset>2443277</wp:posOffset>
          </wp:positionV>
          <wp:extent cx="2312289" cy="241401"/>
          <wp:effectExtent l="19050" t="0" r="0" b="0"/>
          <wp:wrapNone/>
          <wp:docPr id="2" name="Picture 2" descr="beyaz-akinves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yaz-akinvestment"/>
                  <pic:cNvPicPr>
                    <a:picLocks noChangeAspect="1" noChangeArrowheads="1"/>
                  </pic:cNvPicPr>
                </pic:nvPicPr>
                <pic:blipFill>
                  <a:blip r:embed="rId1"/>
                  <a:srcRect/>
                  <a:stretch>
                    <a:fillRect/>
                  </a:stretch>
                </pic:blipFill>
                <pic:spPr bwMode="auto">
                  <a:xfrm>
                    <a:off x="0" y="0"/>
                    <a:ext cx="2312289" cy="241401"/>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63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10632"/>
    </w:tblGrid>
    <w:tr w:rsidR="00EF4DA2" w:rsidTr="006D6A36">
      <w:trPr>
        <w:trHeight w:val="907"/>
      </w:trPr>
      <w:tc>
        <w:tcPr>
          <w:tcW w:w="10632" w:type="dxa"/>
          <w:shd w:val="clear" w:color="auto" w:fill="FF0000"/>
        </w:tcPr>
        <w:p w:rsidR="00EF4DA2" w:rsidRDefault="00EF4DA2">
          <w:pPr>
            <w:pStyle w:val="Header"/>
          </w:pPr>
          <w:r>
            <w:rPr>
              <w:noProof/>
              <w:lang w:eastAsia="tr-TR"/>
            </w:rPr>
            <w:drawing>
              <wp:anchor distT="0" distB="0" distL="114300" distR="114300" simplePos="0" relativeHeight="251666944" behindDoc="0" locked="0" layoutInCell="1" allowOverlap="1" wp14:anchorId="7A09ACEC" wp14:editId="603BE1E1">
                <wp:simplePos x="0" y="0"/>
                <wp:positionH relativeFrom="column">
                  <wp:posOffset>4371975</wp:posOffset>
                </wp:positionH>
                <wp:positionV relativeFrom="paragraph">
                  <wp:posOffset>149225</wp:posOffset>
                </wp:positionV>
                <wp:extent cx="2312035" cy="241300"/>
                <wp:effectExtent l="19050" t="0" r="0" b="0"/>
                <wp:wrapNone/>
                <wp:docPr id="14" name="Picture 2" descr="beyaz-akinves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yaz-akinvestment"/>
                        <pic:cNvPicPr>
                          <a:picLocks noChangeAspect="1" noChangeArrowheads="1"/>
                        </pic:cNvPicPr>
                      </pic:nvPicPr>
                      <pic:blipFill>
                        <a:blip r:embed="rId1"/>
                        <a:srcRect/>
                        <a:stretch>
                          <a:fillRect/>
                        </a:stretch>
                      </pic:blipFill>
                      <pic:spPr bwMode="auto">
                        <a:xfrm>
                          <a:off x="0" y="0"/>
                          <a:ext cx="2312035" cy="241300"/>
                        </a:xfrm>
                        <a:prstGeom prst="rect">
                          <a:avLst/>
                        </a:prstGeom>
                        <a:noFill/>
                        <a:ln w="9525">
                          <a:noFill/>
                          <a:miter lim="800000"/>
                          <a:headEnd/>
                          <a:tailEnd/>
                        </a:ln>
                      </pic:spPr>
                    </pic:pic>
                  </a:graphicData>
                </a:graphic>
              </wp:anchor>
            </w:drawing>
          </w:r>
        </w:p>
        <w:p w:rsidR="00EF4DA2" w:rsidRPr="002C7447" w:rsidRDefault="00EF4DA2" w:rsidP="002C7447">
          <w:pPr>
            <w:tabs>
              <w:tab w:val="left" w:pos="6855"/>
            </w:tabs>
          </w:pPr>
          <w:r>
            <w:tab/>
          </w:r>
        </w:p>
      </w:tc>
    </w:tr>
  </w:tbl>
  <w:p w:rsidR="00EF4DA2" w:rsidRPr="00DE5E62" w:rsidRDefault="00EF4DA2" w:rsidP="00EF4DA2">
    <w:pPr>
      <w:pStyle w:val="Header"/>
      <w:rPr>
        <w:sz w:val="2"/>
        <w:szCs w:val="2"/>
      </w:rPr>
    </w:pPr>
    <w:r w:rsidRPr="00DE5E62">
      <w:rPr>
        <w:noProof/>
        <w:sz w:val="2"/>
        <w:szCs w:val="2"/>
        <w:lang w:eastAsia="tr-TR"/>
      </w:rPr>
      <w:drawing>
        <wp:anchor distT="0" distB="0" distL="114300" distR="114300" simplePos="0" relativeHeight="251665920" behindDoc="0" locked="0" layoutInCell="1" allowOverlap="1" wp14:anchorId="74555039" wp14:editId="07F39299">
          <wp:simplePos x="0" y="0"/>
          <wp:positionH relativeFrom="column">
            <wp:posOffset>1915414</wp:posOffset>
          </wp:positionH>
          <wp:positionV relativeFrom="paragraph">
            <wp:posOffset>2443277</wp:posOffset>
          </wp:positionV>
          <wp:extent cx="2312289" cy="241401"/>
          <wp:effectExtent l="19050" t="0" r="0" b="0"/>
          <wp:wrapNone/>
          <wp:docPr id="15" name="Picture 15" descr="beyaz-akinves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yaz-akinvestment"/>
                  <pic:cNvPicPr>
                    <a:picLocks noChangeAspect="1" noChangeArrowheads="1"/>
                  </pic:cNvPicPr>
                </pic:nvPicPr>
                <pic:blipFill>
                  <a:blip r:embed="rId1"/>
                  <a:srcRect/>
                  <a:stretch>
                    <a:fillRect/>
                  </a:stretch>
                </pic:blipFill>
                <pic:spPr bwMode="auto">
                  <a:xfrm>
                    <a:off x="0" y="0"/>
                    <a:ext cx="2312289" cy="241401"/>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10632"/>
    </w:tblGrid>
    <w:tr w:rsidR="00EF4DA2" w:rsidTr="00E27969">
      <w:trPr>
        <w:trHeight w:val="794"/>
      </w:trPr>
      <w:tc>
        <w:tcPr>
          <w:tcW w:w="10632" w:type="dxa"/>
          <w:shd w:val="clear" w:color="auto" w:fill="FF0000"/>
        </w:tcPr>
        <w:p w:rsidR="00EF4DA2" w:rsidRDefault="00EF4DA2">
          <w:pPr>
            <w:pStyle w:val="Header"/>
          </w:pPr>
          <w:r>
            <w:rPr>
              <w:noProof/>
              <w:lang w:eastAsia="tr-TR"/>
            </w:rPr>
            <w:drawing>
              <wp:anchor distT="0" distB="0" distL="114300" distR="114300" simplePos="0" relativeHeight="251670016" behindDoc="0" locked="0" layoutInCell="1" allowOverlap="1" wp14:anchorId="44870C95" wp14:editId="0BFA9BA8">
                <wp:simplePos x="0" y="0"/>
                <wp:positionH relativeFrom="column">
                  <wp:posOffset>4371975</wp:posOffset>
                </wp:positionH>
                <wp:positionV relativeFrom="paragraph">
                  <wp:posOffset>149225</wp:posOffset>
                </wp:positionV>
                <wp:extent cx="2312035" cy="241300"/>
                <wp:effectExtent l="19050" t="0" r="0" b="0"/>
                <wp:wrapNone/>
                <wp:docPr id="9" name="Picture 2" descr="beyaz-akinves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yaz-akinvestment"/>
                        <pic:cNvPicPr>
                          <a:picLocks noChangeAspect="1" noChangeArrowheads="1"/>
                        </pic:cNvPicPr>
                      </pic:nvPicPr>
                      <pic:blipFill>
                        <a:blip r:embed="rId1"/>
                        <a:srcRect/>
                        <a:stretch>
                          <a:fillRect/>
                        </a:stretch>
                      </pic:blipFill>
                      <pic:spPr bwMode="auto">
                        <a:xfrm>
                          <a:off x="0" y="0"/>
                          <a:ext cx="2312035" cy="241300"/>
                        </a:xfrm>
                        <a:prstGeom prst="rect">
                          <a:avLst/>
                        </a:prstGeom>
                        <a:noFill/>
                        <a:ln w="9525">
                          <a:noFill/>
                          <a:miter lim="800000"/>
                          <a:headEnd/>
                          <a:tailEnd/>
                        </a:ln>
                      </pic:spPr>
                    </pic:pic>
                  </a:graphicData>
                </a:graphic>
              </wp:anchor>
            </w:drawing>
          </w:r>
        </w:p>
        <w:p w:rsidR="00EF4DA2" w:rsidRPr="002C7447" w:rsidRDefault="00EF4DA2" w:rsidP="002C7447">
          <w:pPr>
            <w:tabs>
              <w:tab w:val="left" w:pos="6855"/>
            </w:tabs>
          </w:pPr>
          <w:r>
            <w:tab/>
          </w:r>
        </w:p>
      </w:tc>
    </w:tr>
  </w:tbl>
  <w:p w:rsidR="00EF4DA2" w:rsidRPr="00DE5E62" w:rsidRDefault="00EF4DA2" w:rsidP="00EF4DA2">
    <w:pPr>
      <w:pStyle w:val="Header"/>
      <w:rPr>
        <w:sz w:val="2"/>
        <w:szCs w:val="2"/>
      </w:rPr>
    </w:pPr>
    <w:r w:rsidRPr="00DE5E62">
      <w:rPr>
        <w:noProof/>
        <w:sz w:val="2"/>
        <w:szCs w:val="2"/>
        <w:lang w:eastAsia="tr-TR"/>
      </w:rPr>
      <w:drawing>
        <wp:anchor distT="0" distB="0" distL="114300" distR="114300" simplePos="0" relativeHeight="251668992" behindDoc="0" locked="0" layoutInCell="1" allowOverlap="1" wp14:anchorId="2832223F" wp14:editId="265896CA">
          <wp:simplePos x="0" y="0"/>
          <wp:positionH relativeFrom="column">
            <wp:posOffset>1915414</wp:posOffset>
          </wp:positionH>
          <wp:positionV relativeFrom="paragraph">
            <wp:posOffset>2443277</wp:posOffset>
          </wp:positionV>
          <wp:extent cx="2312289" cy="241401"/>
          <wp:effectExtent l="19050" t="0" r="0" b="0"/>
          <wp:wrapNone/>
          <wp:docPr id="10" name="Picture 2" descr="beyaz-akinves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yaz-akinvestment"/>
                  <pic:cNvPicPr>
                    <a:picLocks noChangeAspect="1" noChangeArrowheads="1"/>
                  </pic:cNvPicPr>
                </pic:nvPicPr>
                <pic:blipFill>
                  <a:blip r:embed="rId1"/>
                  <a:srcRect/>
                  <a:stretch>
                    <a:fillRect/>
                  </a:stretch>
                </pic:blipFill>
                <pic:spPr bwMode="auto">
                  <a:xfrm>
                    <a:off x="0" y="0"/>
                    <a:ext cx="2312289" cy="241401"/>
                  </a:xfrm>
                  <a:prstGeom prst="rect">
                    <a:avLst/>
                  </a:prstGeom>
                  <a:noFill/>
                  <a:ln w="9525">
                    <a:noFill/>
                    <a:miter lim="800000"/>
                    <a:headEnd/>
                    <a:tailEnd/>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10632"/>
    </w:tblGrid>
    <w:tr w:rsidR="00E72405" w:rsidTr="00E27969">
      <w:trPr>
        <w:trHeight w:val="794"/>
      </w:trPr>
      <w:tc>
        <w:tcPr>
          <w:tcW w:w="10632" w:type="dxa"/>
          <w:shd w:val="clear" w:color="auto" w:fill="FF0000"/>
        </w:tcPr>
        <w:p w:rsidR="00E72405" w:rsidRDefault="00E72405">
          <w:pPr>
            <w:pStyle w:val="Header"/>
          </w:pPr>
          <w:r>
            <w:rPr>
              <w:noProof/>
              <w:lang w:eastAsia="tr-TR"/>
            </w:rPr>
            <w:drawing>
              <wp:anchor distT="0" distB="0" distL="114300" distR="114300" simplePos="0" relativeHeight="251659776" behindDoc="0" locked="0" layoutInCell="1" allowOverlap="1" wp14:anchorId="313FA91C" wp14:editId="724775E1">
                <wp:simplePos x="0" y="0"/>
                <wp:positionH relativeFrom="column">
                  <wp:posOffset>4371975</wp:posOffset>
                </wp:positionH>
                <wp:positionV relativeFrom="paragraph">
                  <wp:posOffset>149225</wp:posOffset>
                </wp:positionV>
                <wp:extent cx="2312035" cy="241300"/>
                <wp:effectExtent l="19050" t="0" r="0" b="0"/>
                <wp:wrapNone/>
                <wp:docPr id="12" name="Picture 2" descr="beyaz-akinves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yaz-akinvestment"/>
                        <pic:cNvPicPr>
                          <a:picLocks noChangeAspect="1" noChangeArrowheads="1"/>
                        </pic:cNvPicPr>
                      </pic:nvPicPr>
                      <pic:blipFill>
                        <a:blip r:embed="rId1"/>
                        <a:srcRect/>
                        <a:stretch>
                          <a:fillRect/>
                        </a:stretch>
                      </pic:blipFill>
                      <pic:spPr bwMode="auto">
                        <a:xfrm>
                          <a:off x="0" y="0"/>
                          <a:ext cx="2312035" cy="241300"/>
                        </a:xfrm>
                        <a:prstGeom prst="rect">
                          <a:avLst/>
                        </a:prstGeom>
                        <a:noFill/>
                        <a:ln w="9525">
                          <a:noFill/>
                          <a:miter lim="800000"/>
                          <a:headEnd/>
                          <a:tailEnd/>
                        </a:ln>
                      </pic:spPr>
                    </pic:pic>
                  </a:graphicData>
                </a:graphic>
              </wp:anchor>
            </w:drawing>
          </w:r>
        </w:p>
        <w:p w:rsidR="00E72405" w:rsidRPr="002C7447" w:rsidRDefault="00E72405" w:rsidP="002C7447">
          <w:pPr>
            <w:tabs>
              <w:tab w:val="left" w:pos="6855"/>
            </w:tabs>
          </w:pPr>
          <w:r>
            <w:tab/>
          </w:r>
        </w:p>
      </w:tc>
    </w:tr>
  </w:tbl>
  <w:p w:rsidR="00E72405" w:rsidRPr="00DE5E62" w:rsidRDefault="00E72405">
    <w:pPr>
      <w:pStyle w:val="Header"/>
      <w:rPr>
        <w:sz w:val="2"/>
        <w:szCs w:val="2"/>
      </w:rPr>
    </w:pPr>
    <w:r w:rsidRPr="00DE5E62">
      <w:rPr>
        <w:noProof/>
        <w:sz w:val="2"/>
        <w:szCs w:val="2"/>
        <w:lang w:eastAsia="tr-TR"/>
      </w:rPr>
      <w:drawing>
        <wp:anchor distT="0" distB="0" distL="114300" distR="114300" simplePos="0" relativeHeight="251654656" behindDoc="0" locked="0" layoutInCell="1" allowOverlap="1" wp14:anchorId="3A82295B" wp14:editId="2E796233">
          <wp:simplePos x="0" y="0"/>
          <wp:positionH relativeFrom="column">
            <wp:posOffset>1915414</wp:posOffset>
          </wp:positionH>
          <wp:positionV relativeFrom="paragraph">
            <wp:posOffset>2443277</wp:posOffset>
          </wp:positionV>
          <wp:extent cx="2312289" cy="241401"/>
          <wp:effectExtent l="19050" t="0" r="0" b="0"/>
          <wp:wrapNone/>
          <wp:docPr id="13" name="Picture 2" descr="beyaz-akinves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yaz-akinvestment"/>
                  <pic:cNvPicPr>
                    <a:picLocks noChangeAspect="1" noChangeArrowheads="1"/>
                  </pic:cNvPicPr>
                </pic:nvPicPr>
                <pic:blipFill>
                  <a:blip r:embed="rId1"/>
                  <a:srcRect/>
                  <a:stretch>
                    <a:fillRect/>
                  </a:stretch>
                </pic:blipFill>
                <pic:spPr bwMode="auto">
                  <a:xfrm>
                    <a:off x="0" y="0"/>
                    <a:ext cx="2312289" cy="241401"/>
                  </a:xfrm>
                  <a:prstGeom prst="rect">
                    <a:avLst/>
                  </a:prstGeom>
                  <a:noFill/>
                  <a:ln w="9525">
                    <a:noFill/>
                    <a:miter lim="800000"/>
                    <a:headEnd/>
                    <a:tailEnd/>
                  </a:ln>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10632"/>
    </w:tblGrid>
    <w:tr w:rsidR="00EF4DA2" w:rsidTr="00E27969">
      <w:trPr>
        <w:trHeight w:val="794"/>
      </w:trPr>
      <w:tc>
        <w:tcPr>
          <w:tcW w:w="10632" w:type="dxa"/>
          <w:shd w:val="clear" w:color="auto" w:fill="FF0000"/>
        </w:tcPr>
        <w:p w:rsidR="00EF4DA2" w:rsidRDefault="00EF4DA2">
          <w:pPr>
            <w:pStyle w:val="Header"/>
          </w:pPr>
          <w:r>
            <w:rPr>
              <w:noProof/>
              <w:lang w:eastAsia="tr-TR"/>
            </w:rPr>
            <w:drawing>
              <wp:anchor distT="0" distB="0" distL="114300" distR="114300" simplePos="0" relativeHeight="251691008" behindDoc="0" locked="0" layoutInCell="1" allowOverlap="1" wp14:anchorId="0BA17A71" wp14:editId="4CE300F7">
                <wp:simplePos x="0" y="0"/>
                <wp:positionH relativeFrom="column">
                  <wp:posOffset>4371975</wp:posOffset>
                </wp:positionH>
                <wp:positionV relativeFrom="paragraph">
                  <wp:posOffset>149225</wp:posOffset>
                </wp:positionV>
                <wp:extent cx="2312035" cy="241300"/>
                <wp:effectExtent l="19050" t="0" r="0" b="0"/>
                <wp:wrapNone/>
                <wp:docPr id="26" name="Picture 2" descr="beyaz-akinves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yaz-akinvestment"/>
                        <pic:cNvPicPr>
                          <a:picLocks noChangeAspect="1" noChangeArrowheads="1"/>
                        </pic:cNvPicPr>
                      </pic:nvPicPr>
                      <pic:blipFill>
                        <a:blip r:embed="rId1"/>
                        <a:srcRect/>
                        <a:stretch>
                          <a:fillRect/>
                        </a:stretch>
                      </pic:blipFill>
                      <pic:spPr bwMode="auto">
                        <a:xfrm>
                          <a:off x="0" y="0"/>
                          <a:ext cx="2312035" cy="241300"/>
                        </a:xfrm>
                        <a:prstGeom prst="rect">
                          <a:avLst/>
                        </a:prstGeom>
                        <a:noFill/>
                        <a:ln w="9525">
                          <a:noFill/>
                          <a:miter lim="800000"/>
                          <a:headEnd/>
                          <a:tailEnd/>
                        </a:ln>
                      </pic:spPr>
                    </pic:pic>
                  </a:graphicData>
                </a:graphic>
              </wp:anchor>
            </w:drawing>
          </w:r>
        </w:p>
        <w:p w:rsidR="00EF4DA2" w:rsidRPr="002C7447" w:rsidRDefault="00EF4DA2" w:rsidP="002C7447">
          <w:pPr>
            <w:tabs>
              <w:tab w:val="left" w:pos="6855"/>
            </w:tabs>
          </w:pPr>
          <w:r>
            <w:tab/>
          </w:r>
        </w:p>
      </w:tc>
    </w:tr>
  </w:tbl>
  <w:p w:rsidR="00EF4DA2" w:rsidRPr="00DE5E62" w:rsidRDefault="00EF4DA2" w:rsidP="00EF4DA2">
    <w:pPr>
      <w:pStyle w:val="Header"/>
      <w:rPr>
        <w:sz w:val="2"/>
        <w:szCs w:val="2"/>
      </w:rPr>
    </w:pPr>
    <w:r w:rsidRPr="00DE5E62">
      <w:rPr>
        <w:noProof/>
        <w:sz w:val="2"/>
        <w:szCs w:val="2"/>
        <w:lang w:eastAsia="tr-TR"/>
      </w:rPr>
      <w:drawing>
        <wp:anchor distT="0" distB="0" distL="114300" distR="114300" simplePos="0" relativeHeight="251689984" behindDoc="0" locked="0" layoutInCell="1" allowOverlap="1" wp14:anchorId="3BA8DB3F" wp14:editId="57EFDFB8">
          <wp:simplePos x="0" y="0"/>
          <wp:positionH relativeFrom="column">
            <wp:posOffset>1915414</wp:posOffset>
          </wp:positionH>
          <wp:positionV relativeFrom="paragraph">
            <wp:posOffset>2443277</wp:posOffset>
          </wp:positionV>
          <wp:extent cx="2312289" cy="241401"/>
          <wp:effectExtent l="19050" t="0" r="0" b="0"/>
          <wp:wrapNone/>
          <wp:docPr id="27" name="Picture 2" descr="beyaz-akinves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yaz-akinvestment"/>
                  <pic:cNvPicPr>
                    <a:picLocks noChangeAspect="1" noChangeArrowheads="1"/>
                  </pic:cNvPicPr>
                </pic:nvPicPr>
                <pic:blipFill>
                  <a:blip r:embed="rId1"/>
                  <a:srcRect/>
                  <a:stretch>
                    <a:fillRect/>
                  </a:stretch>
                </pic:blipFill>
                <pic:spPr bwMode="auto">
                  <a:xfrm>
                    <a:off x="0" y="0"/>
                    <a:ext cx="2312289" cy="241401"/>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4847"/>
    <w:multiLevelType w:val="hybridMultilevel"/>
    <w:tmpl w:val="FCBC5B34"/>
    <w:lvl w:ilvl="0" w:tplc="5A84CCCA">
      <w:start w:val="1"/>
      <w:numFmt w:val="bullet"/>
      <w:lvlText w:val="•"/>
      <w:lvlJc w:val="left"/>
      <w:pPr>
        <w:tabs>
          <w:tab w:val="num" w:pos="720"/>
        </w:tabs>
        <w:ind w:left="720" w:hanging="360"/>
      </w:pPr>
      <w:rPr>
        <w:rFonts w:ascii="Garamond" w:hAnsi="Garamond" w:hint="default"/>
      </w:rPr>
    </w:lvl>
    <w:lvl w:ilvl="1" w:tplc="F350EA44" w:tentative="1">
      <w:start w:val="1"/>
      <w:numFmt w:val="bullet"/>
      <w:lvlText w:val="•"/>
      <w:lvlJc w:val="left"/>
      <w:pPr>
        <w:tabs>
          <w:tab w:val="num" w:pos="1440"/>
        </w:tabs>
        <w:ind w:left="1440" w:hanging="360"/>
      </w:pPr>
      <w:rPr>
        <w:rFonts w:ascii="Garamond" w:hAnsi="Garamond" w:hint="default"/>
      </w:rPr>
    </w:lvl>
    <w:lvl w:ilvl="2" w:tplc="B4E8CF14" w:tentative="1">
      <w:start w:val="1"/>
      <w:numFmt w:val="bullet"/>
      <w:lvlText w:val="•"/>
      <w:lvlJc w:val="left"/>
      <w:pPr>
        <w:tabs>
          <w:tab w:val="num" w:pos="2160"/>
        </w:tabs>
        <w:ind w:left="2160" w:hanging="360"/>
      </w:pPr>
      <w:rPr>
        <w:rFonts w:ascii="Garamond" w:hAnsi="Garamond" w:hint="default"/>
      </w:rPr>
    </w:lvl>
    <w:lvl w:ilvl="3" w:tplc="C12A1BA0" w:tentative="1">
      <w:start w:val="1"/>
      <w:numFmt w:val="bullet"/>
      <w:lvlText w:val="•"/>
      <w:lvlJc w:val="left"/>
      <w:pPr>
        <w:tabs>
          <w:tab w:val="num" w:pos="2880"/>
        </w:tabs>
        <w:ind w:left="2880" w:hanging="360"/>
      </w:pPr>
      <w:rPr>
        <w:rFonts w:ascii="Garamond" w:hAnsi="Garamond" w:hint="default"/>
      </w:rPr>
    </w:lvl>
    <w:lvl w:ilvl="4" w:tplc="12F48EE4" w:tentative="1">
      <w:start w:val="1"/>
      <w:numFmt w:val="bullet"/>
      <w:lvlText w:val="•"/>
      <w:lvlJc w:val="left"/>
      <w:pPr>
        <w:tabs>
          <w:tab w:val="num" w:pos="3600"/>
        </w:tabs>
        <w:ind w:left="3600" w:hanging="360"/>
      </w:pPr>
      <w:rPr>
        <w:rFonts w:ascii="Garamond" w:hAnsi="Garamond" w:hint="default"/>
      </w:rPr>
    </w:lvl>
    <w:lvl w:ilvl="5" w:tplc="3FEEF790" w:tentative="1">
      <w:start w:val="1"/>
      <w:numFmt w:val="bullet"/>
      <w:lvlText w:val="•"/>
      <w:lvlJc w:val="left"/>
      <w:pPr>
        <w:tabs>
          <w:tab w:val="num" w:pos="4320"/>
        </w:tabs>
        <w:ind w:left="4320" w:hanging="360"/>
      </w:pPr>
      <w:rPr>
        <w:rFonts w:ascii="Garamond" w:hAnsi="Garamond" w:hint="default"/>
      </w:rPr>
    </w:lvl>
    <w:lvl w:ilvl="6" w:tplc="EE5617B8" w:tentative="1">
      <w:start w:val="1"/>
      <w:numFmt w:val="bullet"/>
      <w:lvlText w:val="•"/>
      <w:lvlJc w:val="left"/>
      <w:pPr>
        <w:tabs>
          <w:tab w:val="num" w:pos="5040"/>
        </w:tabs>
        <w:ind w:left="5040" w:hanging="360"/>
      </w:pPr>
      <w:rPr>
        <w:rFonts w:ascii="Garamond" w:hAnsi="Garamond" w:hint="default"/>
      </w:rPr>
    </w:lvl>
    <w:lvl w:ilvl="7" w:tplc="618A5B06" w:tentative="1">
      <w:start w:val="1"/>
      <w:numFmt w:val="bullet"/>
      <w:lvlText w:val="•"/>
      <w:lvlJc w:val="left"/>
      <w:pPr>
        <w:tabs>
          <w:tab w:val="num" w:pos="5760"/>
        </w:tabs>
        <w:ind w:left="5760" w:hanging="360"/>
      </w:pPr>
      <w:rPr>
        <w:rFonts w:ascii="Garamond" w:hAnsi="Garamond" w:hint="default"/>
      </w:rPr>
    </w:lvl>
    <w:lvl w:ilvl="8" w:tplc="56AED9B6" w:tentative="1">
      <w:start w:val="1"/>
      <w:numFmt w:val="bullet"/>
      <w:lvlText w:val="•"/>
      <w:lvlJc w:val="left"/>
      <w:pPr>
        <w:tabs>
          <w:tab w:val="num" w:pos="6480"/>
        </w:tabs>
        <w:ind w:left="6480" w:hanging="360"/>
      </w:pPr>
      <w:rPr>
        <w:rFonts w:ascii="Garamond" w:hAnsi="Garamond" w:hint="default"/>
      </w:rPr>
    </w:lvl>
  </w:abstractNum>
  <w:abstractNum w:abstractNumId="1" w15:restartNumberingAfterBreak="0">
    <w:nsid w:val="1FC17499"/>
    <w:multiLevelType w:val="hybridMultilevel"/>
    <w:tmpl w:val="AA18F400"/>
    <w:lvl w:ilvl="0" w:tplc="DE90FD46">
      <w:start w:val="1"/>
      <w:numFmt w:val="bullet"/>
      <w:lvlText w:val=""/>
      <w:lvlJc w:val="left"/>
      <w:pPr>
        <w:tabs>
          <w:tab w:val="num" w:pos="360"/>
        </w:tabs>
        <w:ind w:left="360" w:hanging="360"/>
      </w:pPr>
      <w:rPr>
        <w:rFonts w:ascii="Symbol" w:hAnsi="Symbol" w:hint="default"/>
        <w:sz w:val="20"/>
      </w:rPr>
    </w:lvl>
    <w:lvl w:ilvl="1" w:tplc="041F0001">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20"/>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F155EA"/>
    <w:multiLevelType w:val="hybridMultilevel"/>
    <w:tmpl w:val="625012B4"/>
    <w:lvl w:ilvl="0" w:tplc="041F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 w15:restartNumberingAfterBreak="0">
    <w:nsid w:val="5FA57F3F"/>
    <w:multiLevelType w:val="hybridMultilevel"/>
    <w:tmpl w:val="E8BC0764"/>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7F0B57"/>
    <w:multiLevelType w:val="hybridMultilevel"/>
    <w:tmpl w:val="7BD28BB4"/>
    <w:lvl w:ilvl="0" w:tplc="99B0A164">
      <w:start w:val="1"/>
      <w:numFmt w:val="bullet"/>
      <w:lvlText w:val="-"/>
      <w:lvlJc w:val="left"/>
      <w:pPr>
        <w:ind w:left="360" w:hanging="360"/>
      </w:pPr>
      <w:rPr>
        <w:rFonts w:ascii="Calibri" w:eastAsia="Calibri" w:hAnsi="Calibri" w:cs="Calibr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defaultTabStop w:val="708"/>
  <w:hyphenationZone w:val="425"/>
  <w:evenAndOddHeaders/>
  <w:drawingGridHorizontalSpacing w:val="110"/>
  <w:drawingGridVerticalSpacing w:val="181"/>
  <w:displayHorizontalDrawingGridEvery w:val="2"/>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2E0"/>
    <w:rsid w:val="00002979"/>
    <w:rsid w:val="0000475D"/>
    <w:rsid w:val="00007B71"/>
    <w:rsid w:val="0001006C"/>
    <w:rsid w:val="0001273C"/>
    <w:rsid w:val="00012781"/>
    <w:rsid w:val="00012A42"/>
    <w:rsid w:val="00014EF0"/>
    <w:rsid w:val="00015AF4"/>
    <w:rsid w:val="0002046A"/>
    <w:rsid w:val="00021169"/>
    <w:rsid w:val="00023951"/>
    <w:rsid w:val="000302EC"/>
    <w:rsid w:val="0003142F"/>
    <w:rsid w:val="00031EDF"/>
    <w:rsid w:val="00033B52"/>
    <w:rsid w:val="00033CB8"/>
    <w:rsid w:val="0004009F"/>
    <w:rsid w:val="00046252"/>
    <w:rsid w:val="00046F4C"/>
    <w:rsid w:val="00050320"/>
    <w:rsid w:val="000511E2"/>
    <w:rsid w:val="00051B0B"/>
    <w:rsid w:val="00055D6C"/>
    <w:rsid w:val="00056E20"/>
    <w:rsid w:val="000572D2"/>
    <w:rsid w:val="00057F84"/>
    <w:rsid w:val="00061B79"/>
    <w:rsid w:val="00064F39"/>
    <w:rsid w:val="00067135"/>
    <w:rsid w:val="00067266"/>
    <w:rsid w:val="00072FC4"/>
    <w:rsid w:val="0007581C"/>
    <w:rsid w:val="000765C8"/>
    <w:rsid w:val="0008330E"/>
    <w:rsid w:val="00083614"/>
    <w:rsid w:val="000846BC"/>
    <w:rsid w:val="00090B09"/>
    <w:rsid w:val="000922A7"/>
    <w:rsid w:val="00096E0F"/>
    <w:rsid w:val="000A0715"/>
    <w:rsid w:val="000A1A49"/>
    <w:rsid w:val="000A752D"/>
    <w:rsid w:val="000B24F9"/>
    <w:rsid w:val="000B3B41"/>
    <w:rsid w:val="000B5F6D"/>
    <w:rsid w:val="000B6F59"/>
    <w:rsid w:val="000C0E0F"/>
    <w:rsid w:val="000C1508"/>
    <w:rsid w:val="000C310B"/>
    <w:rsid w:val="000D0074"/>
    <w:rsid w:val="000D3619"/>
    <w:rsid w:val="000E393D"/>
    <w:rsid w:val="000E57E1"/>
    <w:rsid w:val="000E6A11"/>
    <w:rsid w:val="000F1286"/>
    <w:rsid w:val="000F1903"/>
    <w:rsid w:val="000F61E9"/>
    <w:rsid w:val="000F7EF0"/>
    <w:rsid w:val="00102FE4"/>
    <w:rsid w:val="00103A4D"/>
    <w:rsid w:val="001174AD"/>
    <w:rsid w:val="00117B50"/>
    <w:rsid w:val="00120E42"/>
    <w:rsid w:val="0012181F"/>
    <w:rsid w:val="0012198C"/>
    <w:rsid w:val="00123676"/>
    <w:rsid w:val="00124822"/>
    <w:rsid w:val="00126557"/>
    <w:rsid w:val="00126C23"/>
    <w:rsid w:val="00126E7A"/>
    <w:rsid w:val="00134552"/>
    <w:rsid w:val="001347F4"/>
    <w:rsid w:val="001362F7"/>
    <w:rsid w:val="00136A63"/>
    <w:rsid w:val="001419BC"/>
    <w:rsid w:val="00145D76"/>
    <w:rsid w:val="00146F2B"/>
    <w:rsid w:val="0015294D"/>
    <w:rsid w:val="00162AAF"/>
    <w:rsid w:val="001630A9"/>
    <w:rsid w:val="00163BF7"/>
    <w:rsid w:val="00177C3B"/>
    <w:rsid w:val="0018011C"/>
    <w:rsid w:val="00181255"/>
    <w:rsid w:val="00181A09"/>
    <w:rsid w:val="001860B9"/>
    <w:rsid w:val="0018623B"/>
    <w:rsid w:val="00190479"/>
    <w:rsid w:val="00196082"/>
    <w:rsid w:val="00196E8E"/>
    <w:rsid w:val="001A0284"/>
    <w:rsid w:val="001A45A5"/>
    <w:rsid w:val="001A58C9"/>
    <w:rsid w:val="001A60B9"/>
    <w:rsid w:val="001A6840"/>
    <w:rsid w:val="001B34F6"/>
    <w:rsid w:val="001B357A"/>
    <w:rsid w:val="001B50EF"/>
    <w:rsid w:val="001B5359"/>
    <w:rsid w:val="001C0BE1"/>
    <w:rsid w:val="001C23E0"/>
    <w:rsid w:val="001C4510"/>
    <w:rsid w:val="001C7512"/>
    <w:rsid w:val="001D07F2"/>
    <w:rsid w:val="001D74B4"/>
    <w:rsid w:val="001E012C"/>
    <w:rsid w:val="001E0D8E"/>
    <w:rsid w:val="001E1735"/>
    <w:rsid w:val="001E1ABE"/>
    <w:rsid w:val="001E41C7"/>
    <w:rsid w:val="001E433A"/>
    <w:rsid w:val="001E5F94"/>
    <w:rsid w:val="001F4E30"/>
    <w:rsid w:val="001F4E4E"/>
    <w:rsid w:val="001F665B"/>
    <w:rsid w:val="001F67DB"/>
    <w:rsid w:val="001F6D1C"/>
    <w:rsid w:val="002010B3"/>
    <w:rsid w:val="002015C5"/>
    <w:rsid w:val="00201693"/>
    <w:rsid w:val="00202B52"/>
    <w:rsid w:val="00210ABF"/>
    <w:rsid w:val="0021424B"/>
    <w:rsid w:val="00215011"/>
    <w:rsid w:val="0021618A"/>
    <w:rsid w:val="002173EC"/>
    <w:rsid w:val="0022144F"/>
    <w:rsid w:val="00221FF4"/>
    <w:rsid w:val="00226BFA"/>
    <w:rsid w:val="00226D59"/>
    <w:rsid w:val="00232A8D"/>
    <w:rsid w:val="0023365E"/>
    <w:rsid w:val="002350C4"/>
    <w:rsid w:val="0023526B"/>
    <w:rsid w:val="002353F1"/>
    <w:rsid w:val="0023608B"/>
    <w:rsid w:val="00240FDF"/>
    <w:rsid w:val="0024576C"/>
    <w:rsid w:val="00254399"/>
    <w:rsid w:val="00260DD7"/>
    <w:rsid w:val="002612D0"/>
    <w:rsid w:val="0026180E"/>
    <w:rsid w:val="0026668A"/>
    <w:rsid w:val="002700E1"/>
    <w:rsid w:val="00280CF8"/>
    <w:rsid w:val="00280E68"/>
    <w:rsid w:val="00283F3A"/>
    <w:rsid w:val="002852A3"/>
    <w:rsid w:val="00285981"/>
    <w:rsid w:val="002864D3"/>
    <w:rsid w:val="00290566"/>
    <w:rsid w:val="00291C60"/>
    <w:rsid w:val="00293D4D"/>
    <w:rsid w:val="002942B6"/>
    <w:rsid w:val="002A2B9E"/>
    <w:rsid w:val="002B21CA"/>
    <w:rsid w:val="002C030C"/>
    <w:rsid w:val="002C5335"/>
    <w:rsid w:val="002C7447"/>
    <w:rsid w:val="002D6126"/>
    <w:rsid w:val="002E0B8F"/>
    <w:rsid w:val="002E3937"/>
    <w:rsid w:val="002E561A"/>
    <w:rsid w:val="002F0171"/>
    <w:rsid w:val="002F1E6B"/>
    <w:rsid w:val="002F6587"/>
    <w:rsid w:val="002F7F5E"/>
    <w:rsid w:val="003000CA"/>
    <w:rsid w:val="00301F15"/>
    <w:rsid w:val="00304866"/>
    <w:rsid w:val="0030681D"/>
    <w:rsid w:val="0031576A"/>
    <w:rsid w:val="0032265B"/>
    <w:rsid w:val="003236E5"/>
    <w:rsid w:val="00332F05"/>
    <w:rsid w:val="00333C15"/>
    <w:rsid w:val="00333F72"/>
    <w:rsid w:val="003342E4"/>
    <w:rsid w:val="00334BAC"/>
    <w:rsid w:val="0033563E"/>
    <w:rsid w:val="0033708F"/>
    <w:rsid w:val="0034350B"/>
    <w:rsid w:val="00343ADB"/>
    <w:rsid w:val="00350188"/>
    <w:rsid w:val="00350CD3"/>
    <w:rsid w:val="00350EF7"/>
    <w:rsid w:val="00351CF4"/>
    <w:rsid w:val="00351ED6"/>
    <w:rsid w:val="0035235A"/>
    <w:rsid w:val="003575B0"/>
    <w:rsid w:val="00357EB2"/>
    <w:rsid w:val="003632F7"/>
    <w:rsid w:val="00364F83"/>
    <w:rsid w:val="003654AA"/>
    <w:rsid w:val="00370BFC"/>
    <w:rsid w:val="00371042"/>
    <w:rsid w:val="00380474"/>
    <w:rsid w:val="0038228E"/>
    <w:rsid w:val="003903A3"/>
    <w:rsid w:val="003A2986"/>
    <w:rsid w:val="003A3F85"/>
    <w:rsid w:val="003A777E"/>
    <w:rsid w:val="003B14B5"/>
    <w:rsid w:val="003B29B7"/>
    <w:rsid w:val="003B393B"/>
    <w:rsid w:val="003B4783"/>
    <w:rsid w:val="003B7AB1"/>
    <w:rsid w:val="003C24FB"/>
    <w:rsid w:val="003C5F4B"/>
    <w:rsid w:val="003C6C5F"/>
    <w:rsid w:val="003D6453"/>
    <w:rsid w:val="003E024F"/>
    <w:rsid w:val="003E0E1F"/>
    <w:rsid w:val="003E46A1"/>
    <w:rsid w:val="003E5740"/>
    <w:rsid w:val="003E6F6A"/>
    <w:rsid w:val="003E73FC"/>
    <w:rsid w:val="003F31D9"/>
    <w:rsid w:val="00400223"/>
    <w:rsid w:val="00401516"/>
    <w:rsid w:val="00402C5C"/>
    <w:rsid w:val="0040394E"/>
    <w:rsid w:val="004063F3"/>
    <w:rsid w:val="0040686B"/>
    <w:rsid w:val="004104DB"/>
    <w:rsid w:val="004106A3"/>
    <w:rsid w:val="00415574"/>
    <w:rsid w:val="00415D19"/>
    <w:rsid w:val="00416635"/>
    <w:rsid w:val="00416F6C"/>
    <w:rsid w:val="00420CF9"/>
    <w:rsid w:val="00421E1A"/>
    <w:rsid w:val="00422D72"/>
    <w:rsid w:val="00422F72"/>
    <w:rsid w:val="004230E3"/>
    <w:rsid w:val="004350C2"/>
    <w:rsid w:val="00436015"/>
    <w:rsid w:val="00447FF8"/>
    <w:rsid w:val="00451168"/>
    <w:rsid w:val="00451D54"/>
    <w:rsid w:val="0045351D"/>
    <w:rsid w:val="00453587"/>
    <w:rsid w:val="00456B1B"/>
    <w:rsid w:val="004622FE"/>
    <w:rsid w:val="0046759D"/>
    <w:rsid w:val="0046766A"/>
    <w:rsid w:val="00472667"/>
    <w:rsid w:val="00473D09"/>
    <w:rsid w:val="00482609"/>
    <w:rsid w:val="00482857"/>
    <w:rsid w:val="00482B4D"/>
    <w:rsid w:val="00483407"/>
    <w:rsid w:val="004912B5"/>
    <w:rsid w:val="0049406B"/>
    <w:rsid w:val="0049770B"/>
    <w:rsid w:val="004A1625"/>
    <w:rsid w:val="004A2C94"/>
    <w:rsid w:val="004A3F80"/>
    <w:rsid w:val="004A4FE9"/>
    <w:rsid w:val="004A506C"/>
    <w:rsid w:val="004B013E"/>
    <w:rsid w:val="004B2DF4"/>
    <w:rsid w:val="004B3F88"/>
    <w:rsid w:val="004B47F6"/>
    <w:rsid w:val="004B5C31"/>
    <w:rsid w:val="004B6FB8"/>
    <w:rsid w:val="004C0CE7"/>
    <w:rsid w:val="004C1081"/>
    <w:rsid w:val="004C212B"/>
    <w:rsid w:val="004C5E8E"/>
    <w:rsid w:val="004C6D76"/>
    <w:rsid w:val="004D16EF"/>
    <w:rsid w:val="004D1A02"/>
    <w:rsid w:val="004D2477"/>
    <w:rsid w:val="004D725F"/>
    <w:rsid w:val="004E36AA"/>
    <w:rsid w:val="004E584B"/>
    <w:rsid w:val="004E686A"/>
    <w:rsid w:val="004E7DA5"/>
    <w:rsid w:val="004F66D5"/>
    <w:rsid w:val="00500720"/>
    <w:rsid w:val="00500BD0"/>
    <w:rsid w:val="00502610"/>
    <w:rsid w:val="00502AA6"/>
    <w:rsid w:val="00505C87"/>
    <w:rsid w:val="0051623A"/>
    <w:rsid w:val="00516772"/>
    <w:rsid w:val="00516F63"/>
    <w:rsid w:val="0052062B"/>
    <w:rsid w:val="005254CC"/>
    <w:rsid w:val="00525745"/>
    <w:rsid w:val="00527B10"/>
    <w:rsid w:val="00532322"/>
    <w:rsid w:val="005334B4"/>
    <w:rsid w:val="00533720"/>
    <w:rsid w:val="00534908"/>
    <w:rsid w:val="00540A1E"/>
    <w:rsid w:val="0054381A"/>
    <w:rsid w:val="0055153C"/>
    <w:rsid w:val="00555CD4"/>
    <w:rsid w:val="00557CAC"/>
    <w:rsid w:val="00560F0E"/>
    <w:rsid w:val="005621AD"/>
    <w:rsid w:val="00562B04"/>
    <w:rsid w:val="00562CFA"/>
    <w:rsid w:val="00562E25"/>
    <w:rsid w:val="0056352A"/>
    <w:rsid w:val="0056354A"/>
    <w:rsid w:val="00570829"/>
    <w:rsid w:val="00572036"/>
    <w:rsid w:val="00573C3F"/>
    <w:rsid w:val="005945D7"/>
    <w:rsid w:val="00594E55"/>
    <w:rsid w:val="00597674"/>
    <w:rsid w:val="005A24E0"/>
    <w:rsid w:val="005A4FBE"/>
    <w:rsid w:val="005A5F47"/>
    <w:rsid w:val="005B4967"/>
    <w:rsid w:val="005B5319"/>
    <w:rsid w:val="005B54A1"/>
    <w:rsid w:val="005B5542"/>
    <w:rsid w:val="005B6564"/>
    <w:rsid w:val="005C2C72"/>
    <w:rsid w:val="005C40C5"/>
    <w:rsid w:val="005D0BFC"/>
    <w:rsid w:val="005D2C2C"/>
    <w:rsid w:val="005D4A87"/>
    <w:rsid w:val="005D4E99"/>
    <w:rsid w:val="005D5D4B"/>
    <w:rsid w:val="005E0ED2"/>
    <w:rsid w:val="005E3BC8"/>
    <w:rsid w:val="005E45BD"/>
    <w:rsid w:val="005E4B9B"/>
    <w:rsid w:val="005F2811"/>
    <w:rsid w:val="005F46CE"/>
    <w:rsid w:val="005F6542"/>
    <w:rsid w:val="00604394"/>
    <w:rsid w:val="0061575F"/>
    <w:rsid w:val="006204B1"/>
    <w:rsid w:val="0062103E"/>
    <w:rsid w:val="00624639"/>
    <w:rsid w:val="00627B91"/>
    <w:rsid w:val="006316DD"/>
    <w:rsid w:val="00637224"/>
    <w:rsid w:val="00640DE9"/>
    <w:rsid w:val="006429DF"/>
    <w:rsid w:val="00643427"/>
    <w:rsid w:val="00645972"/>
    <w:rsid w:val="00656340"/>
    <w:rsid w:val="0065722F"/>
    <w:rsid w:val="006664B4"/>
    <w:rsid w:val="00673A32"/>
    <w:rsid w:val="0068040F"/>
    <w:rsid w:val="00681DE5"/>
    <w:rsid w:val="006830AF"/>
    <w:rsid w:val="00683FF3"/>
    <w:rsid w:val="00684263"/>
    <w:rsid w:val="0068693E"/>
    <w:rsid w:val="00686D1C"/>
    <w:rsid w:val="00687141"/>
    <w:rsid w:val="0069185C"/>
    <w:rsid w:val="006933E4"/>
    <w:rsid w:val="00696CAF"/>
    <w:rsid w:val="006971C6"/>
    <w:rsid w:val="006A0492"/>
    <w:rsid w:val="006A39E8"/>
    <w:rsid w:val="006A559B"/>
    <w:rsid w:val="006A55AD"/>
    <w:rsid w:val="006B1B78"/>
    <w:rsid w:val="006B64BF"/>
    <w:rsid w:val="006C072D"/>
    <w:rsid w:val="006C0767"/>
    <w:rsid w:val="006C68F0"/>
    <w:rsid w:val="006D5FBD"/>
    <w:rsid w:val="006D6A36"/>
    <w:rsid w:val="006D7B41"/>
    <w:rsid w:val="006E0388"/>
    <w:rsid w:val="006E1419"/>
    <w:rsid w:val="006E3711"/>
    <w:rsid w:val="006E41C2"/>
    <w:rsid w:val="006E62B7"/>
    <w:rsid w:val="006E745B"/>
    <w:rsid w:val="006E7F03"/>
    <w:rsid w:val="006F1282"/>
    <w:rsid w:val="006F3B7E"/>
    <w:rsid w:val="006F4743"/>
    <w:rsid w:val="006F7BC2"/>
    <w:rsid w:val="00700F2D"/>
    <w:rsid w:val="007027E2"/>
    <w:rsid w:val="007041C3"/>
    <w:rsid w:val="0070494E"/>
    <w:rsid w:val="00707FED"/>
    <w:rsid w:val="00711A3F"/>
    <w:rsid w:val="00712B7F"/>
    <w:rsid w:val="00713A89"/>
    <w:rsid w:val="00714B20"/>
    <w:rsid w:val="0072303E"/>
    <w:rsid w:val="0072555B"/>
    <w:rsid w:val="007276AD"/>
    <w:rsid w:val="00732F29"/>
    <w:rsid w:val="007368CC"/>
    <w:rsid w:val="007400B8"/>
    <w:rsid w:val="00741F68"/>
    <w:rsid w:val="00744A65"/>
    <w:rsid w:val="00745104"/>
    <w:rsid w:val="00745DD5"/>
    <w:rsid w:val="00751805"/>
    <w:rsid w:val="00754790"/>
    <w:rsid w:val="007559D1"/>
    <w:rsid w:val="00756696"/>
    <w:rsid w:val="007608CE"/>
    <w:rsid w:val="007621F5"/>
    <w:rsid w:val="0076245C"/>
    <w:rsid w:val="00766528"/>
    <w:rsid w:val="00772FF3"/>
    <w:rsid w:val="00777EF3"/>
    <w:rsid w:val="0078124F"/>
    <w:rsid w:val="0078438D"/>
    <w:rsid w:val="0078520B"/>
    <w:rsid w:val="00785E22"/>
    <w:rsid w:val="00787D35"/>
    <w:rsid w:val="00793BF1"/>
    <w:rsid w:val="007A0066"/>
    <w:rsid w:val="007A4953"/>
    <w:rsid w:val="007B1229"/>
    <w:rsid w:val="007B3356"/>
    <w:rsid w:val="007B50AB"/>
    <w:rsid w:val="007B63A4"/>
    <w:rsid w:val="007C06E5"/>
    <w:rsid w:val="007C0B71"/>
    <w:rsid w:val="007C5513"/>
    <w:rsid w:val="007D06AE"/>
    <w:rsid w:val="007D3E33"/>
    <w:rsid w:val="007D7E60"/>
    <w:rsid w:val="007E18B4"/>
    <w:rsid w:val="007E25DF"/>
    <w:rsid w:val="007E48A5"/>
    <w:rsid w:val="007F1D90"/>
    <w:rsid w:val="007F763D"/>
    <w:rsid w:val="00801FED"/>
    <w:rsid w:val="00806A48"/>
    <w:rsid w:val="00806A73"/>
    <w:rsid w:val="0081431E"/>
    <w:rsid w:val="00814B31"/>
    <w:rsid w:val="00814CDB"/>
    <w:rsid w:val="00814E61"/>
    <w:rsid w:val="00820D63"/>
    <w:rsid w:val="00821542"/>
    <w:rsid w:val="0082325F"/>
    <w:rsid w:val="0082578F"/>
    <w:rsid w:val="00827E1F"/>
    <w:rsid w:val="0083064A"/>
    <w:rsid w:val="008504AD"/>
    <w:rsid w:val="00855272"/>
    <w:rsid w:val="00860016"/>
    <w:rsid w:val="00861138"/>
    <w:rsid w:val="008648C9"/>
    <w:rsid w:val="00866F82"/>
    <w:rsid w:val="00871155"/>
    <w:rsid w:val="0087508A"/>
    <w:rsid w:val="0088000F"/>
    <w:rsid w:val="0088332F"/>
    <w:rsid w:val="00890DF3"/>
    <w:rsid w:val="00891700"/>
    <w:rsid w:val="0089714C"/>
    <w:rsid w:val="008A09BE"/>
    <w:rsid w:val="008A17FF"/>
    <w:rsid w:val="008A3C03"/>
    <w:rsid w:val="008B080E"/>
    <w:rsid w:val="008B65A4"/>
    <w:rsid w:val="008B66EE"/>
    <w:rsid w:val="008C0BAC"/>
    <w:rsid w:val="008C17C7"/>
    <w:rsid w:val="008C299D"/>
    <w:rsid w:val="008C38EC"/>
    <w:rsid w:val="008C464C"/>
    <w:rsid w:val="008D1A86"/>
    <w:rsid w:val="008D5AF3"/>
    <w:rsid w:val="008E5E52"/>
    <w:rsid w:val="008F23D1"/>
    <w:rsid w:val="008F4F64"/>
    <w:rsid w:val="00901059"/>
    <w:rsid w:val="00902E74"/>
    <w:rsid w:val="00904BE2"/>
    <w:rsid w:val="00906040"/>
    <w:rsid w:val="00907A4F"/>
    <w:rsid w:val="00910BBF"/>
    <w:rsid w:val="00913865"/>
    <w:rsid w:val="00916249"/>
    <w:rsid w:val="00942703"/>
    <w:rsid w:val="0094422A"/>
    <w:rsid w:val="00946076"/>
    <w:rsid w:val="00952BC8"/>
    <w:rsid w:val="00955CEE"/>
    <w:rsid w:val="00961D11"/>
    <w:rsid w:val="00966DBC"/>
    <w:rsid w:val="00967FF6"/>
    <w:rsid w:val="00973C47"/>
    <w:rsid w:val="00973C4E"/>
    <w:rsid w:val="00976EB7"/>
    <w:rsid w:val="00984FBA"/>
    <w:rsid w:val="00985C69"/>
    <w:rsid w:val="00986637"/>
    <w:rsid w:val="00992B05"/>
    <w:rsid w:val="00993DFA"/>
    <w:rsid w:val="00994013"/>
    <w:rsid w:val="00994758"/>
    <w:rsid w:val="009970E9"/>
    <w:rsid w:val="009A0AD3"/>
    <w:rsid w:val="009A0EF1"/>
    <w:rsid w:val="009A3585"/>
    <w:rsid w:val="009A3C33"/>
    <w:rsid w:val="009B2937"/>
    <w:rsid w:val="009B5CAB"/>
    <w:rsid w:val="009B663E"/>
    <w:rsid w:val="009C52FF"/>
    <w:rsid w:val="009C72E0"/>
    <w:rsid w:val="009D77F6"/>
    <w:rsid w:val="009E7510"/>
    <w:rsid w:val="009F262E"/>
    <w:rsid w:val="009F3047"/>
    <w:rsid w:val="009F39AA"/>
    <w:rsid w:val="009F5CC3"/>
    <w:rsid w:val="00A00A92"/>
    <w:rsid w:val="00A01131"/>
    <w:rsid w:val="00A03F1D"/>
    <w:rsid w:val="00A05C9E"/>
    <w:rsid w:val="00A06768"/>
    <w:rsid w:val="00A114B8"/>
    <w:rsid w:val="00A127C8"/>
    <w:rsid w:val="00A1443F"/>
    <w:rsid w:val="00A162AF"/>
    <w:rsid w:val="00A16E4E"/>
    <w:rsid w:val="00A17E71"/>
    <w:rsid w:val="00A24628"/>
    <w:rsid w:val="00A24EA0"/>
    <w:rsid w:val="00A25A75"/>
    <w:rsid w:val="00A27DD4"/>
    <w:rsid w:val="00A30E14"/>
    <w:rsid w:val="00A31860"/>
    <w:rsid w:val="00A32AE4"/>
    <w:rsid w:val="00A32C21"/>
    <w:rsid w:val="00A354D3"/>
    <w:rsid w:val="00A35A09"/>
    <w:rsid w:val="00A3694F"/>
    <w:rsid w:val="00A37461"/>
    <w:rsid w:val="00A428DB"/>
    <w:rsid w:val="00A435EF"/>
    <w:rsid w:val="00A44BEE"/>
    <w:rsid w:val="00A451B5"/>
    <w:rsid w:val="00A45227"/>
    <w:rsid w:val="00A5001B"/>
    <w:rsid w:val="00A60994"/>
    <w:rsid w:val="00A65401"/>
    <w:rsid w:val="00A659F3"/>
    <w:rsid w:val="00A71D9D"/>
    <w:rsid w:val="00A71F6D"/>
    <w:rsid w:val="00A72674"/>
    <w:rsid w:val="00A757D0"/>
    <w:rsid w:val="00A80FB1"/>
    <w:rsid w:val="00A84759"/>
    <w:rsid w:val="00A90972"/>
    <w:rsid w:val="00A9308B"/>
    <w:rsid w:val="00A94C8F"/>
    <w:rsid w:val="00A961C7"/>
    <w:rsid w:val="00A979BA"/>
    <w:rsid w:val="00A97F83"/>
    <w:rsid w:val="00AA213F"/>
    <w:rsid w:val="00AA21BA"/>
    <w:rsid w:val="00AA5D75"/>
    <w:rsid w:val="00AB1BD2"/>
    <w:rsid w:val="00AB4755"/>
    <w:rsid w:val="00AB71BA"/>
    <w:rsid w:val="00AC2264"/>
    <w:rsid w:val="00AC3FE9"/>
    <w:rsid w:val="00AC5A92"/>
    <w:rsid w:val="00AD7443"/>
    <w:rsid w:val="00AE02C0"/>
    <w:rsid w:val="00AF3836"/>
    <w:rsid w:val="00AF4F10"/>
    <w:rsid w:val="00AF541D"/>
    <w:rsid w:val="00B01837"/>
    <w:rsid w:val="00B0314C"/>
    <w:rsid w:val="00B05616"/>
    <w:rsid w:val="00B116B1"/>
    <w:rsid w:val="00B1526C"/>
    <w:rsid w:val="00B17E1B"/>
    <w:rsid w:val="00B205AC"/>
    <w:rsid w:val="00B241CC"/>
    <w:rsid w:val="00B25909"/>
    <w:rsid w:val="00B30820"/>
    <w:rsid w:val="00B3150C"/>
    <w:rsid w:val="00B3331A"/>
    <w:rsid w:val="00B336C4"/>
    <w:rsid w:val="00B34BD1"/>
    <w:rsid w:val="00B37D47"/>
    <w:rsid w:val="00B42412"/>
    <w:rsid w:val="00B43E03"/>
    <w:rsid w:val="00B447A4"/>
    <w:rsid w:val="00B501C8"/>
    <w:rsid w:val="00B51919"/>
    <w:rsid w:val="00B52D71"/>
    <w:rsid w:val="00B55FC4"/>
    <w:rsid w:val="00B70C89"/>
    <w:rsid w:val="00B71253"/>
    <w:rsid w:val="00B71D38"/>
    <w:rsid w:val="00B75276"/>
    <w:rsid w:val="00B7691F"/>
    <w:rsid w:val="00B80D2B"/>
    <w:rsid w:val="00B81195"/>
    <w:rsid w:val="00B81FC1"/>
    <w:rsid w:val="00B82545"/>
    <w:rsid w:val="00B84695"/>
    <w:rsid w:val="00B8542A"/>
    <w:rsid w:val="00B854A7"/>
    <w:rsid w:val="00B85D47"/>
    <w:rsid w:val="00B87A54"/>
    <w:rsid w:val="00B93903"/>
    <w:rsid w:val="00BA02CA"/>
    <w:rsid w:val="00BA22DE"/>
    <w:rsid w:val="00BA3370"/>
    <w:rsid w:val="00BA67F2"/>
    <w:rsid w:val="00BB463C"/>
    <w:rsid w:val="00BB62D5"/>
    <w:rsid w:val="00BC35A2"/>
    <w:rsid w:val="00BC4D0B"/>
    <w:rsid w:val="00BC550B"/>
    <w:rsid w:val="00BD29AF"/>
    <w:rsid w:val="00BD3CBD"/>
    <w:rsid w:val="00BD5840"/>
    <w:rsid w:val="00BD61C7"/>
    <w:rsid w:val="00BD6381"/>
    <w:rsid w:val="00BD7AA5"/>
    <w:rsid w:val="00BF1699"/>
    <w:rsid w:val="00BF53AA"/>
    <w:rsid w:val="00C01BE5"/>
    <w:rsid w:val="00C03862"/>
    <w:rsid w:val="00C04A3C"/>
    <w:rsid w:val="00C05F87"/>
    <w:rsid w:val="00C0649B"/>
    <w:rsid w:val="00C079D7"/>
    <w:rsid w:val="00C11D65"/>
    <w:rsid w:val="00C11FE4"/>
    <w:rsid w:val="00C120EB"/>
    <w:rsid w:val="00C21FA6"/>
    <w:rsid w:val="00C2219C"/>
    <w:rsid w:val="00C23EC8"/>
    <w:rsid w:val="00C254B1"/>
    <w:rsid w:val="00C2582E"/>
    <w:rsid w:val="00C25925"/>
    <w:rsid w:val="00C26F37"/>
    <w:rsid w:val="00C27C70"/>
    <w:rsid w:val="00C3007C"/>
    <w:rsid w:val="00C355D6"/>
    <w:rsid w:val="00C374DA"/>
    <w:rsid w:val="00C4391C"/>
    <w:rsid w:val="00C461BA"/>
    <w:rsid w:val="00C52B17"/>
    <w:rsid w:val="00C5438E"/>
    <w:rsid w:val="00C54532"/>
    <w:rsid w:val="00C552BB"/>
    <w:rsid w:val="00C57A39"/>
    <w:rsid w:val="00C62FE7"/>
    <w:rsid w:val="00C645D9"/>
    <w:rsid w:val="00C64B0F"/>
    <w:rsid w:val="00C65C23"/>
    <w:rsid w:val="00C721FB"/>
    <w:rsid w:val="00C7240B"/>
    <w:rsid w:val="00C91EF9"/>
    <w:rsid w:val="00C97558"/>
    <w:rsid w:val="00C97BFB"/>
    <w:rsid w:val="00CA44B2"/>
    <w:rsid w:val="00CB15A9"/>
    <w:rsid w:val="00CB351D"/>
    <w:rsid w:val="00CB6BD0"/>
    <w:rsid w:val="00CB7161"/>
    <w:rsid w:val="00CB7E6F"/>
    <w:rsid w:val="00CC16B2"/>
    <w:rsid w:val="00CC33DF"/>
    <w:rsid w:val="00CD232D"/>
    <w:rsid w:val="00CD26AC"/>
    <w:rsid w:val="00CD33C5"/>
    <w:rsid w:val="00CD4037"/>
    <w:rsid w:val="00CD793E"/>
    <w:rsid w:val="00CE546A"/>
    <w:rsid w:val="00CE7610"/>
    <w:rsid w:val="00CF0864"/>
    <w:rsid w:val="00CF5A8C"/>
    <w:rsid w:val="00CF650C"/>
    <w:rsid w:val="00CF7D5C"/>
    <w:rsid w:val="00D04795"/>
    <w:rsid w:val="00D07426"/>
    <w:rsid w:val="00D118E0"/>
    <w:rsid w:val="00D12687"/>
    <w:rsid w:val="00D13B98"/>
    <w:rsid w:val="00D1738F"/>
    <w:rsid w:val="00D23000"/>
    <w:rsid w:val="00D231AC"/>
    <w:rsid w:val="00D250CB"/>
    <w:rsid w:val="00D266CC"/>
    <w:rsid w:val="00D2690F"/>
    <w:rsid w:val="00D27999"/>
    <w:rsid w:val="00D31746"/>
    <w:rsid w:val="00D34B50"/>
    <w:rsid w:val="00D35D9A"/>
    <w:rsid w:val="00D35EE6"/>
    <w:rsid w:val="00D3725F"/>
    <w:rsid w:val="00D45057"/>
    <w:rsid w:val="00D46133"/>
    <w:rsid w:val="00D46CCC"/>
    <w:rsid w:val="00D54676"/>
    <w:rsid w:val="00D57B62"/>
    <w:rsid w:val="00D625D1"/>
    <w:rsid w:val="00D62989"/>
    <w:rsid w:val="00D6661D"/>
    <w:rsid w:val="00D671FE"/>
    <w:rsid w:val="00D67D5D"/>
    <w:rsid w:val="00D71FE4"/>
    <w:rsid w:val="00D72F42"/>
    <w:rsid w:val="00D77EB4"/>
    <w:rsid w:val="00D8226A"/>
    <w:rsid w:val="00D84E4C"/>
    <w:rsid w:val="00D91DCF"/>
    <w:rsid w:val="00D92436"/>
    <w:rsid w:val="00D92602"/>
    <w:rsid w:val="00D9277B"/>
    <w:rsid w:val="00D9281A"/>
    <w:rsid w:val="00D9534F"/>
    <w:rsid w:val="00DA2AA5"/>
    <w:rsid w:val="00DA38A1"/>
    <w:rsid w:val="00DA4182"/>
    <w:rsid w:val="00DA63F7"/>
    <w:rsid w:val="00DB0C95"/>
    <w:rsid w:val="00DB2EBC"/>
    <w:rsid w:val="00DB6CDC"/>
    <w:rsid w:val="00DC0676"/>
    <w:rsid w:val="00DC0A2E"/>
    <w:rsid w:val="00DD118D"/>
    <w:rsid w:val="00DD18CC"/>
    <w:rsid w:val="00DD4162"/>
    <w:rsid w:val="00DE043A"/>
    <w:rsid w:val="00DE148D"/>
    <w:rsid w:val="00DE199E"/>
    <w:rsid w:val="00DE2032"/>
    <w:rsid w:val="00DE5DD3"/>
    <w:rsid w:val="00DE5E62"/>
    <w:rsid w:val="00DF0D43"/>
    <w:rsid w:val="00DF1F55"/>
    <w:rsid w:val="00DF2E1A"/>
    <w:rsid w:val="00DF3797"/>
    <w:rsid w:val="00DF5162"/>
    <w:rsid w:val="00DF6B17"/>
    <w:rsid w:val="00DF7FFA"/>
    <w:rsid w:val="00E008AF"/>
    <w:rsid w:val="00E00CFA"/>
    <w:rsid w:val="00E01D58"/>
    <w:rsid w:val="00E04853"/>
    <w:rsid w:val="00E0492A"/>
    <w:rsid w:val="00E04B3A"/>
    <w:rsid w:val="00E0778C"/>
    <w:rsid w:val="00E1048D"/>
    <w:rsid w:val="00E11EF6"/>
    <w:rsid w:val="00E1512D"/>
    <w:rsid w:val="00E2171B"/>
    <w:rsid w:val="00E236EF"/>
    <w:rsid w:val="00E265BC"/>
    <w:rsid w:val="00E27969"/>
    <w:rsid w:val="00E33579"/>
    <w:rsid w:val="00E378AD"/>
    <w:rsid w:val="00E37C8A"/>
    <w:rsid w:val="00E40668"/>
    <w:rsid w:val="00E4153A"/>
    <w:rsid w:val="00E41A4D"/>
    <w:rsid w:val="00E47847"/>
    <w:rsid w:val="00E500C5"/>
    <w:rsid w:val="00E51995"/>
    <w:rsid w:val="00E521A2"/>
    <w:rsid w:val="00E53BFE"/>
    <w:rsid w:val="00E60537"/>
    <w:rsid w:val="00E6566D"/>
    <w:rsid w:val="00E66754"/>
    <w:rsid w:val="00E6799F"/>
    <w:rsid w:val="00E70AC6"/>
    <w:rsid w:val="00E70FC9"/>
    <w:rsid w:val="00E72405"/>
    <w:rsid w:val="00E77D96"/>
    <w:rsid w:val="00E858D7"/>
    <w:rsid w:val="00E91524"/>
    <w:rsid w:val="00E92C62"/>
    <w:rsid w:val="00E93069"/>
    <w:rsid w:val="00E934EC"/>
    <w:rsid w:val="00E94477"/>
    <w:rsid w:val="00E94679"/>
    <w:rsid w:val="00E959EC"/>
    <w:rsid w:val="00EA146B"/>
    <w:rsid w:val="00EA4D76"/>
    <w:rsid w:val="00EA62C4"/>
    <w:rsid w:val="00EA6470"/>
    <w:rsid w:val="00EA6534"/>
    <w:rsid w:val="00EB2FC1"/>
    <w:rsid w:val="00EB3756"/>
    <w:rsid w:val="00EB57A6"/>
    <w:rsid w:val="00EC0110"/>
    <w:rsid w:val="00EC20F7"/>
    <w:rsid w:val="00EC6657"/>
    <w:rsid w:val="00ED10D1"/>
    <w:rsid w:val="00ED11AF"/>
    <w:rsid w:val="00ED4382"/>
    <w:rsid w:val="00EE06ED"/>
    <w:rsid w:val="00EE0F19"/>
    <w:rsid w:val="00EE5E71"/>
    <w:rsid w:val="00EF1DBC"/>
    <w:rsid w:val="00EF357B"/>
    <w:rsid w:val="00EF4DA2"/>
    <w:rsid w:val="00F0044B"/>
    <w:rsid w:val="00F0424F"/>
    <w:rsid w:val="00F05070"/>
    <w:rsid w:val="00F055F1"/>
    <w:rsid w:val="00F05C10"/>
    <w:rsid w:val="00F07EDD"/>
    <w:rsid w:val="00F120E0"/>
    <w:rsid w:val="00F134C2"/>
    <w:rsid w:val="00F14483"/>
    <w:rsid w:val="00F1641E"/>
    <w:rsid w:val="00F17230"/>
    <w:rsid w:val="00F17F92"/>
    <w:rsid w:val="00F20C47"/>
    <w:rsid w:val="00F2552B"/>
    <w:rsid w:val="00F26EC2"/>
    <w:rsid w:val="00F2783F"/>
    <w:rsid w:val="00F32D9B"/>
    <w:rsid w:val="00F331DE"/>
    <w:rsid w:val="00F35BAF"/>
    <w:rsid w:val="00F36E05"/>
    <w:rsid w:val="00F56402"/>
    <w:rsid w:val="00F60BE7"/>
    <w:rsid w:val="00F63504"/>
    <w:rsid w:val="00F644A0"/>
    <w:rsid w:val="00F64AA7"/>
    <w:rsid w:val="00F64E72"/>
    <w:rsid w:val="00F66904"/>
    <w:rsid w:val="00F70A17"/>
    <w:rsid w:val="00F72050"/>
    <w:rsid w:val="00F802F8"/>
    <w:rsid w:val="00F8201E"/>
    <w:rsid w:val="00F828EB"/>
    <w:rsid w:val="00F83964"/>
    <w:rsid w:val="00F84C99"/>
    <w:rsid w:val="00F92FC5"/>
    <w:rsid w:val="00F93FF9"/>
    <w:rsid w:val="00F954D5"/>
    <w:rsid w:val="00F9570B"/>
    <w:rsid w:val="00FA02B3"/>
    <w:rsid w:val="00FA6FF3"/>
    <w:rsid w:val="00FA76AE"/>
    <w:rsid w:val="00FB1622"/>
    <w:rsid w:val="00FB396F"/>
    <w:rsid w:val="00FB3A51"/>
    <w:rsid w:val="00FB4657"/>
    <w:rsid w:val="00FB67CB"/>
    <w:rsid w:val="00FC417B"/>
    <w:rsid w:val="00FC5A51"/>
    <w:rsid w:val="00FC6783"/>
    <w:rsid w:val="00FC7549"/>
    <w:rsid w:val="00FD062C"/>
    <w:rsid w:val="00FD0B9D"/>
    <w:rsid w:val="00FD2FE2"/>
    <w:rsid w:val="00FE2455"/>
    <w:rsid w:val="00FE3781"/>
    <w:rsid w:val="00FE4695"/>
    <w:rsid w:val="00FE4818"/>
    <w:rsid w:val="00FE654E"/>
    <w:rsid w:val="00FE6AD1"/>
    <w:rsid w:val="00FF24FF"/>
    <w:rsid w:val="00FF2777"/>
    <w:rsid w:val="00FF40A7"/>
    <w:rsid w:val="00FF588C"/>
    <w:rsid w:val="00FF7D3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5:docId w15:val="{CFF847ED-1D21-4525-B0AA-9AC8EAA1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BFA"/>
  </w:style>
  <w:style w:type="paragraph" w:styleId="Heading1">
    <w:name w:val="heading 1"/>
    <w:basedOn w:val="Normal"/>
    <w:next w:val="Normal"/>
    <w:link w:val="Heading1Char"/>
    <w:qFormat/>
    <w:rsid w:val="002E3937"/>
    <w:pPr>
      <w:keepNext/>
      <w:spacing w:after="0" w:line="240" w:lineRule="auto"/>
      <w:outlineLvl w:val="0"/>
    </w:pPr>
    <w:rPr>
      <w:rFonts w:ascii="Tahoma" w:eastAsia="Times New Roman" w:hAnsi="Tahoma" w:cs="Tahoma"/>
      <w:b/>
      <w:bCs/>
      <w:sz w:val="56"/>
      <w:szCs w:val="24"/>
    </w:rPr>
  </w:style>
  <w:style w:type="paragraph" w:styleId="Heading5">
    <w:name w:val="heading 5"/>
    <w:basedOn w:val="Normal"/>
    <w:next w:val="Normal"/>
    <w:link w:val="Heading5Char"/>
    <w:qFormat/>
    <w:rsid w:val="000D3619"/>
    <w:pPr>
      <w:keepNext/>
      <w:framePr w:hSpace="180" w:wrap="around" w:vAnchor="text" w:hAnchor="page" w:x="6193" w:y="7921"/>
      <w:spacing w:after="0" w:line="240" w:lineRule="auto"/>
      <w:outlineLvl w:val="4"/>
    </w:pPr>
    <w:rPr>
      <w:rFonts w:ascii="Verdana" w:eastAsia="Times New Roman" w:hAnsi="Verdana" w:cs="Times New Roman"/>
      <w:b/>
      <w:bCs/>
      <w:sz w:val="1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E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A30E14"/>
  </w:style>
  <w:style w:type="paragraph" w:styleId="Footer">
    <w:name w:val="footer"/>
    <w:basedOn w:val="Normal"/>
    <w:link w:val="FooterChar"/>
    <w:uiPriority w:val="99"/>
    <w:unhideWhenUsed/>
    <w:rsid w:val="00A30E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30E14"/>
  </w:style>
  <w:style w:type="table" w:styleId="TableGrid">
    <w:name w:val="Table Grid"/>
    <w:basedOn w:val="TableNormal"/>
    <w:uiPriority w:val="39"/>
    <w:rsid w:val="001A6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F055F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E70AC6"/>
    <w:rPr>
      <w:color w:val="0563C1" w:themeColor="hyperlink"/>
      <w:u w:val="single"/>
    </w:rPr>
  </w:style>
  <w:style w:type="table" w:customStyle="1" w:styleId="GridTable1Light-Accent31">
    <w:name w:val="Grid Table 1 Light - Accent 31"/>
    <w:basedOn w:val="TableNormal"/>
    <w:uiPriority w:val="46"/>
    <w:rsid w:val="001B535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0D3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619"/>
    <w:rPr>
      <w:rFonts w:ascii="Tahoma" w:hAnsi="Tahoma" w:cs="Tahoma"/>
      <w:sz w:val="16"/>
      <w:szCs w:val="16"/>
    </w:rPr>
  </w:style>
  <w:style w:type="character" w:customStyle="1" w:styleId="Heading5Char">
    <w:name w:val="Heading 5 Char"/>
    <w:basedOn w:val="DefaultParagraphFont"/>
    <w:link w:val="Heading5"/>
    <w:rsid w:val="000D3619"/>
    <w:rPr>
      <w:rFonts w:ascii="Verdana" w:eastAsia="Times New Roman" w:hAnsi="Verdana" w:cs="Times New Roman"/>
      <w:b/>
      <w:bCs/>
      <w:sz w:val="14"/>
      <w:szCs w:val="24"/>
      <w:lang w:val="en-US"/>
    </w:rPr>
  </w:style>
  <w:style w:type="character" w:customStyle="1" w:styleId="Heading1Char">
    <w:name w:val="Heading 1 Char"/>
    <w:basedOn w:val="DefaultParagraphFont"/>
    <w:link w:val="Heading1"/>
    <w:rsid w:val="002E3937"/>
    <w:rPr>
      <w:rFonts w:ascii="Tahoma" w:eastAsia="Times New Roman" w:hAnsi="Tahoma" w:cs="Tahoma"/>
      <w:b/>
      <w:bCs/>
      <w:sz w:val="56"/>
      <w:szCs w:val="24"/>
    </w:rPr>
  </w:style>
  <w:style w:type="paragraph" w:styleId="ListParagraph">
    <w:name w:val="List Paragraph"/>
    <w:basedOn w:val="Normal"/>
    <w:uiPriority w:val="34"/>
    <w:qFormat/>
    <w:rsid w:val="00BF1699"/>
    <w:pPr>
      <w:ind w:left="720"/>
      <w:contextualSpacing/>
    </w:pPr>
  </w:style>
  <w:style w:type="paragraph" w:styleId="BodyText">
    <w:name w:val="Body Text"/>
    <w:basedOn w:val="Normal"/>
    <w:link w:val="BodyTextChar"/>
    <w:rsid w:val="00BF1699"/>
    <w:pPr>
      <w:spacing w:after="0" w:line="300" w:lineRule="auto"/>
    </w:pPr>
    <w:rPr>
      <w:rFonts w:ascii="Palatino Linotype" w:eastAsia="Times New Roman" w:hAnsi="Palatino Linotype" w:cs="Times New Roman"/>
      <w:sz w:val="21"/>
      <w:szCs w:val="24"/>
      <w:lang w:val="en-US"/>
    </w:rPr>
  </w:style>
  <w:style w:type="character" w:customStyle="1" w:styleId="BodyTextChar">
    <w:name w:val="Body Text Char"/>
    <w:basedOn w:val="DefaultParagraphFont"/>
    <w:link w:val="BodyText"/>
    <w:rsid w:val="00BF1699"/>
    <w:rPr>
      <w:rFonts w:ascii="Palatino Linotype" w:eastAsia="Times New Roman" w:hAnsi="Palatino Linotype" w:cs="Times New Roman"/>
      <w:sz w:val="21"/>
      <w:szCs w:val="24"/>
      <w:lang w:val="en-US"/>
    </w:rPr>
  </w:style>
  <w:style w:type="paragraph" w:styleId="PlainText">
    <w:name w:val="Plain Text"/>
    <w:basedOn w:val="Normal"/>
    <w:link w:val="PlainTextChar"/>
    <w:uiPriority w:val="99"/>
    <w:unhideWhenUsed/>
    <w:rsid w:val="00B17E1B"/>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B17E1B"/>
    <w:rPr>
      <w:rFonts w:ascii="Calibri" w:hAnsi="Calibri"/>
      <w:szCs w:val="21"/>
      <w:lang w:val="en-US"/>
    </w:rPr>
  </w:style>
  <w:style w:type="paragraph" w:customStyle="1" w:styleId="ASubheading">
    <w:name w:val="A_Subheading"/>
    <w:basedOn w:val="BodyText2"/>
    <w:rsid w:val="0049770B"/>
    <w:pPr>
      <w:tabs>
        <w:tab w:val="left" w:pos="720"/>
      </w:tabs>
      <w:spacing w:after="0" w:line="300" w:lineRule="auto"/>
      <w:jc w:val="both"/>
    </w:pPr>
    <w:rPr>
      <w:rFonts w:ascii="Arial Black" w:eastAsia="Times New Roman" w:hAnsi="Arial Black" w:cs="Times New Roman"/>
      <w:snapToGrid w:val="0"/>
      <w:sz w:val="18"/>
      <w:szCs w:val="24"/>
      <w:lang w:val="en-US"/>
    </w:rPr>
  </w:style>
  <w:style w:type="paragraph" w:styleId="BodyText2">
    <w:name w:val="Body Text 2"/>
    <w:basedOn w:val="Normal"/>
    <w:link w:val="BodyText2Char"/>
    <w:uiPriority w:val="99"/>
    <w:semiHidden/>
    <w:unhideWhenUsed/>
    <w:rsid w:val="0049770B"/>
    <w:pPr>
      <w:spacing w:after="120" w:line="480" w:lineRule="auto"/>
    </w:pPr>
  </w:style>
  <w:style w:type="character" w:customStyle="1" w:styleId="BodyText2Char">
    <w:name w:val="Body Text 2 Char"/>
    <w:basedOn w:val="DefaultParagraphFont"/>
    <w:link w:val="BodyText2"/>
    <w:uiPriority w:val="99"/>
    <w:semiHidden/>
    <w:rsid w:val="00497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4852">
      <w:bodyDiv w:val="1"/>
      <w:marLeft w:val="0"/>
      <w:marRight w:val="0"/>
      <w:marTop w:val="0"/>
      <w:marBottom w:val="0"/>
      <w:divBdr>
        <w:top w:val="none" w:sz="0" w:space="0" w:color="auto"/>
        <w:left w:val="none" w:sz="0" w:space="0" w:color="auto"/>
        <w:bottom w:val="none" w:sz="0" w:space="0" w:color="auto"/>
        <w:right w:val="none" w:sz="0" w:space="0" w:color="auto"/>
      </w:divBdr>
    </w:div>
    <w:div w:id="49114894">
      <w:bodyDiv w:val="1"/>
      <w:marLeft w:val="0"/>
      <w:marRight w:val="0"/>
      <w:marTop w:val="0"/>
      <w:marBottom w:val="0"/>
      <w:divBdr>
        <w:top w:val="none" w:sz="0" w:space="0" w:color="auto"/>
        <w:left w:val="none" w:sz="0" w:space="0" w:color="auto"/>
        <w:bottom w:val="none" w:sz="0" w:space="0" w:color="auto"/>
        <w:right w:val="none" w:sz="0" w:space="0" w:color="auto"/>
      </w:divBdr>
    </w:div>
    <w:div w:id="76219972">
      <w:bodyDiv w:val="1"/>
      <w:marLeft w:val="0"/>
      <w:marRight w:val="0"/>
      <w:marTop w:val="0"/>
      <w:marBottom w:val="0"/>
      <w:divBdr>
        <w:top w:val="none" w:sz="0" w:space="0" w:color="auto"/>
        <w:left w:val="none" w:sz="0" w:space="0" w:color="auto"/>
        <w:bottom w:val="none" w:sz="0" w:space="0" w:color="auto"/>
        <w:right w:val="none" w:sz="0" w:space="0" w:color="auto"/>
      </w:divBdr>
    </w:div>
    <w:div w:id="93550824">
      <w:bodyDiv w:val="1"/>
      <w:marLeft w:val="0"/>
      <w:marRight w:val="0"/>
      <w:marTop w:val="0"/>
      <w:marBottom w:val="0"/>
      <w:divBdr>
        <w:top w:val="none" w:sz="0" w:space="0" w:color="auto"/>
        <w:left w:val="none" w:sz="0" w:space="0" w:color="auto"/>
        <w:bottom w:val="none" w:sz="0" w:space="0" w:color="auto"/>
        <w:right w:val="none" w:sz="0" w:space="0" w:color="auto"/>
      </w:divBdr>
    </w:div>
    <w:div w:id="277759171">
      <w:bodyDiv w:val="1"/>
      <w:marLeft w:val="0"/>
      <w:marRight w:val="0"/>
      <w:marTop w:val="0"/>
      <w:marBottom w:val="0"/>
      <w:divBdr>
        <w:top w:val="none" w:sz="0" w:space="0" w:color="auto"/>
        <w:left w:val="none" w:sz="0" w:space="0" w:color="auto"/>
        <w:bottom w:val="none" w:sz="0" w:space="0" w:color="auto"/>
        <w:right w:val="none" w:sz="0" w:space="0" w:color="auto"/>
      </w:divBdr>
    </w:div>
    <w:div w:id="347410261">
      <w:bodyDiv w:val="1"/>
      <w:marLeft w:val="0"/>
      <w:marRight w:val="0"/>
      <w:marTop w:val="0"/>
      <w:marBottom w:val="0"/>
      <w:divBdr>
        <w:top w:val="none" w:sz="0" w:space="0" w:color="auto"/>
        <w:left w:val="none" w:sz="0" w:space="0" w:color="auto"/>
        <w:bottom w:val="none" w:sz="0" w:space="0" w:color="auto"/>
        <w:right w:val="none" w:sz="0" w:space="0" w:color="auto"/>
      </w:divBdr>
    </w:div>
    <w:div w:id="570507401">
      <w:bodyDiv w:val="1"/>
      <w:marLeft w:val="0"/>
      <w:marRight w:val="0"/>
      <w:marTop w:val="0"/>
      <w:marBottom w:val="0"/>
      <w:divBdr>
        <w:top w:val="none" w:sz="0" w:space="0" w:color="auto"/>
        <w:left w:val="none" w:sz="0" w:space="0" w:color="auto"/>
        <w:bottom w:val="none" w:sz="0" w:space="0" w:color="auto"/>
        <w:right w:val="none" w:sz="0" w:space="0" w:color="auto"/>
      </w:divBdr>
    </w:div>
    <w:div w:id="597179091">
      <w:bodyDiv w:val="1"/>
      <w:marLeft w:val="0"/>
      <w:marRight w:val="0"/>
      <w:marTop w:val="0"/>
      <w:marBottom w:val="0"/>
      <w:divBdr>
        <w:top w:val="none" w:sz="0" w:space="0" w:color="auto"/>
        <w:left w:val="none" w:sz="0" w:space="0" w:color="auto"/>
        <w:bottom w:val="none" w:sz="0" w:space="0" w:color="auto"/>
        <w:right w:val="none" w:sz="0" w:space="0" w:color="auto"/>
      </w:divBdr>
    </w:div>
    <w:div w:id="825785549">
      <w:bodyDiv w:val="1"/>
      <w:marLeft w:val="0"/>
      <w:marRight w:val="0"/>
      <w:marTop w:val="0"/>
      <w:marBottom w:val="0"/>
      <w:divBdr>
        <w:top w:val="none" w:sz="0" w:space="0" w:color="auto"/>
        <w:left w:val="none" w:sz="0" w:space="0" w:color="auto"/>
        <w:bottom w:val="none" w:sz="0" w:space="0" w:color="auto"/>
        <w:right w:val="none" w:sz="0" w:space="0" w:color="auto"/>
      </w:divBdr>
    </w:div>
    <w:div w:id="851992697">
      <w:bodyDiv w:val="1"/>
      <w:marLeft w:val="0"/>
      <w:marRight w:val="0"/>
      <w:marTop w:val="0"/>
      <w:marBottom w:val="0"/>
      <w:divBdr>
        <w:top w:val="none" w:sz="0" w:space="0" w:color="auto"/>
        <w:left w:val="none" w:sz="0" w:space="0" w:color="auto"/>
        <w:bottom w:val="none" w:sz="0" w:space="0" w:color="auto"/>
        <w:right w:val="none" w:sz="0" w:space="0" w:color="auto"/>
      </w:divBdr>
    </w:div>
    <w:div w:id="880939973">
      <w:bodyDiv w:val="1"/>
      <w:marLeft w:val="0"/>
      <w:marRight w:val="0"/>
      <w:marTop w:val="0"/>
      <w:marBottom w:val="0"/>
      <w:divBdr>
        <w:top w:val="none" w:sz="0" w:space="0" w:color="auto"/>
        <w:left w:val="none" w:sz="0" w:space="0" w:color="auto"/>
        <w:bottom w:val="none" w:sz="0" w:space="0" w:color="auto"/>
        <w:right w:val="none" w:sz="0" w:space="0" w:color="auto"/>
      </w:divBdr>
    </w:div>
    <w:div w:id="916591214">
      <w:bodyDiv w:val="1"/>
      <w:marLeft w:val="0"/>
      <w:marRight w:val="0"/>
      <w:marTop w:val="0"/>
      <w:marBottom w:val="0"/>
      <w:divBdr>
        <w:top w:val="none" w:sz="0" w:space="0" w:color="auto"/>
        <w:left w:val="none" w:sz="0" w:space="0" w:color="auto"/>
        <w:bottom w:val="none" w:sz="0" w:space="0" w:color="auto"/>
        <w:right w:val="none" w:sz="0" w:space="0" w:color="auto"/>
      </w:divBdr>
    </w:div>
    <w:div w:id="970748139">
      <w:bodyDiv w:val="1"/>
      <w:marLeft w:val="0"/>
      <w:marRight w:val="0"/>
      <w:marTop w:val="0"/>
      <w:marBottom w:val="0"/>
      <w:divBdr>
        <w:top w:val="none" w:sz="0" w:space="0" w:color="auto"/>
        <w:left w:val="none" w:sz="0" w:space="0" w:color="auto"/>
        <w:bottom w:val="none" w:sz="0" w:space="0" w:color="auto"/>
        <w:right w:val="none" w:sz="0" w:space="0" w:color="auto"/>
      </w:divBdr>
    </w:div>
    <w:div w:id="988050241">
      <w:bodyDiv w:val="1"/>
      <w:marLeft w:val="0"/>
      <w:marRight w:val="0"/>
      <w:marTop w:val="0"/>
      <w:marBottom w:val="0"/>
      <w:divBdr>
        <w:top w:val="none" w:sz="0" w:space="0" w:color="auto"/>
        <w:left w:val="none" w:sz="0" w:space="0" w:color="auto"/>
        <w:bottom w:val="none" w:sz="0" w:space="0" w:color="auto"/>
        <w:right w:val="none" w:sz="0" w:space="0" w:color="auto"/>
      </w:divBdr>
    </w:div>
    <w:div w:id="1017734128">
      <w:bodyDiv w:val="1"/>
      <w:marLeft w:val="0"/>
      <w:marRight w:val="0"/>
      <w:marTop w:val="0"/>
      <w:marBottom w:val="0"/>
      <w:divBdr>
        <w:top w:val="none" w:sz="0" w:space="0" w:color="auto"/>
        <w:left w:val="none" w:sz="0" w:space="0" w:color="auto"/>
        <w:bottom w:val="none" w:sz="0" w:space="0" w:color="auto"/>
        <w:right w:val="none" w:sz="0" w:space="0" w:color="auto"/>
      </w:divBdr>
    </w:div>
    <w:div w:id="1042289343">
      <w:bodyDiv w:val="1"/>
      <w:marLeft w:val="0"/>
      <w:marRight w:val="0"/>
      <w:marTop w:val="0"/>
      <w:marBottom w:val="0"/>
      <w:divBdr>
        <w:top w:val="none" w:sz="0" w:space="0" w:color="auto"/>
        <w:left w:val="none" w:sz="0" w:space="0" w:color="auto"/>
        <w:bottom w:val="none" w:sz="0" w:space="0" w:color="auto"/>
        <w:right w:val="none" w:sz="0" w:space="0" w:color="auto"/>
      </w:divBdr>
    </w:div>
    <w:div w:id="1179343945">
      <w:bodyDiv w:val="1"/>
      <w:marLeft w:val="0"/>
      <w:marRight w:val="0"/>
      <w:marTop w:val="0"/>
      <w:marBottom w:val="0"/>
      <w:divBdr>
        <w:top w:val="none" w:sz="0" w:space="0" w:color="auto"/>
        <w:left w:val="none" w:sz="0" w:space="0" w:color="auto"/>
        <w:bottom w:val="none" w:sz="0" w:space="0" w:color="auto"/>
        <w:right w:val="none" w:sz="0" w:space="0" w:color="auto"/>
      </w:divBdr>
    </w:div>
    <w:div w:id="1287538933">
      <w:bodyDiv w:val="1"/>
      <w:marLeft w:val="0"/>
      <w:marRight w:val="0"/>
      <w:marTop w:val="0"/>
      <w:marBottom w:val="0"/>
      <w:divBdr>
        <w:top w:val="none" w:sz="0" w:space="0" w:color="auto"/>
        <w:left w:val="none" w:sz="0" w:space="0" w:color="auto"/>
        <w:bottom w:val="none" w:sz="0" w:space="0" w:color="auto"/>
        <w:right w:val="none" w:sz="0" w:space="0" w:color="auto"/>
      </w:divBdr>
    </w:div>
    <w:div w:id="1373648689">
      <w:bodyDiv w:val="1"/>
      <w:marLeft w:val="0"/>
      <w:marRight w:val="0"/>
      <w:marTop w:val="0"/>
      <w:marBottom w:val="0"/>
      <w:divBdr>
        <w:top w:val="none" w:sz="0" w:space="0" w:color="auto"/>
        <w:left w:val="none" w:sz="0" w:space="0" w:color="auto"/>
        <w:bottom w:val="none" w:sz="0" w:space="0" w:color="auto"/>
        <w:right w:val="none" w:sz="0" w:space="0" w:color="auto"/>
      </w:divBdr>
    </w:div>
    <w:div w:id="1436636056">
      <w:bodyDiv w:val="1"/>
      <w:marLeft w:val="0"/>
      <w:marRight w:val="0"/>
      <w:marTop w:val="0"/>
      <w:marBottom w:val="0"/>
      <w:divBdr>
        <w:top w:val="none" w:sz="0" w:space="0" w:color="auto"/>
        <w:left w:val="none" w:sz="0" w:space="0" w:color="auto"/>
        <w:bottom w:val="none" w:sz="0" w:space="0" w:color="auto"/>
        <w:right w:val="none" w:sz="0" w:space="0" w:color="auto"/>
      </w:divBdr>
    </w:div>
    <w:div w:id="1656303234">
      <w:bodyDiv w:val="1"/>
      <w:marLeft w:val="0"/>
      <w:marRight w:val="0"/>
      <w:marTop w:val="0"/>
      <w:marBottom w:val="0"/>
      <w:divBdr>
        <w:top w:val="none" w:sz="0" w:space="0" w:color="auto"/>
        <w:left w:val="none" w:sz="0" w:space="0" w:color="auto"/>
        <w:bottom w:val="none" w:sz="0" w:space="0" w:color="auto"/>
        <w:right w:val="none" w:sz="0" w:space="0" w:color="auto"/>
      </w:divBdr>
    </w:div>
    <w:div w:id="1663392466">
      <w:bodyDiv w:val="1"/>
      <w:marLeft w:val="0"/>
      <w:marRight w:val="0"/>
      <w:marTop w:val="0"/>
      <w:marBottom w:val="0"/>
      <w:divBdr>
        <w:top w:val="none" w:sz="0" w:space="0" w:color="auto"/>
        <w:left w:val="none" w:sz="0" w:space="0" w:color="auto"/>
        <w:bottom w:val="none" w:sz="0" w:space="0" w:color="auto"/>
        <w:right w:val="none" w:sz="0" w:space="0" w:color="auto"/>
      </w:divBdr>
    </w:div>
    <w:div w:id="1713187058">
      <w:bodyDiv w:val="1"/>
      <w:marLeft w:val="0"/>
      <w:marRight w:val="0"/>
      <w:marTop w:val="0"/>
      <w:marBottom w:val="0"/>
      <w:divBdr>
        <w:top w:val="none" w:sz="0" w:space="0" w:color="auto"/>
        <w:left w:val="none" w:sz="0" w:space="0" w:color="auto"/>
        <w:bottom w:val="none" w:sz="0" w:space="0" w:color="auto"/>
        <w:right w:val="none" w:sz="0" w:space="0" w:color="auto"/>
      </w:divBdr>
    </w:div>
    <w:div w:id="1739087092">
      <w:bodyDiv w:val="1"/>
      <w:marLeft w:val="0"/>
      <w:marRight w:val="0"/>
      <w:marTop w:val="0"/>
      <w:marBottom w:val="0"/>
      <w:divBdr>
        <w:top w:val="none" w:sz="0" w:space="0" w:color="auto"/>
        <w:left w:val="none" w:sz="0" w:space="0" w:color="auto"/>
        <w:bottom w:val="none" w:sz="0" w:space="0" w:color="auto"/>
        <w:right w:val="none" w:sz="0" w:space="0" w:color="auto"/>
      </w:divBdr>
    </w:div>
    <w:div w:id="1750154773">
      <w:bodyDiv w:val="1"/>
      <w:marLeft w:val="0"/>
      <w:marRight w:val="0"/>
      <w:marTop w:val="0"/>
      <w:marBottom w:val="0"/>
      <w:divBdr>
        <w:top w:val="none" w:sz="0" w:space="0" w:color="auto"/>
        <w:left w:val="none" w:sz="0" w:space="0" w:color="auto"/>
        <w:bottom w:val="none" w:sz="0" w:space="0" w:color="auto"/>
        <w:right w:val="none" w:sz="0" w:space="0" w:color="auto"/>
      </w:divBdr>
    </w:div>
    <w:div w:id="1804499022">
      <w:bodyDiv w:val="1"/>
      <w:marLeft w:val="0"/>
      <w:marRight w:val="0"/>
      <w:marTop w:val="0"/>
      <w:marBottom w:val="0"/>
      <w:divBdr>
        <w:top w:val="none" w:sz="0" w:space="0" w:color="auto"/>
        <w:left w:val="none" w:sz="0" w:space="0" w:color="auto"/>
        <w:bottom w:val="none" w:sz="0" w:space="0" w:color="auto"/>
        <w:right w:val="none" w:sz="0" w:space="0" w:color="auto"/>
      </w:divBdr>
    </w:div>
    <w:div w:id="1851681172">
      <w:bodyDiv w:val="1"/>
      <w:marLeft w:val="0"/>
      <w:marRight w:val="0"/>
      <w:marTop w:val="0"/>
      <w:marBottom w:val="0"/>
      <w:divBdr>
        <w:top w:val="none" w:sz="0" w:space="0" w:color="auto"/>
        <w:left w:val="none" w:sz="0" w:space="0" w:color="auto"/>
        <w:bottom w:val="none" w:sz="0" w:space="0" w:color="auto"/>
        <w:right w:val="none" w:sz="0" w:space="0" w:color="auto"/>
      </w:divBdr>
    </w:div>
    <w:div w:id="1975990164">
      <w:bodyDiv w:val="1"/>
      <w:marLeft w:val="0"/>
      <w:marRight w:val="0"/>
      <w:marTop w:val="0"/>
      <w:marBottom w:val="0"/>
      <w:divBdr>
        <w:top w:val="none" w:sz="0" w:space="0" w:color="auto"/>
        <w:left w:val="none" w:sz="0" w:space="0" w:color="auto"/>
        <w:bottom w:val="none" w:sz="0" w:space="0" w:color="auto"/>
        <w:right w:val="none" w:sz="0" w:space="0" w:color="auto"/>
      </w:divBdr>
    </w:div>
    <w:div w:id="2005863324">
      <w:bodyDiv w:val="1"/>
      <w:marLeft w:val="0"/>
      <w:marRight w:val="0"/>
      <w:marTop w:val="0"/>
      <w:marBottom w:val="0"/>
      <w:divBdr>
        <w:top w:val="none" w:sz="0" w:space="0" w:color="auto"/>
        <w:left w:val="none" w:sz="0" w:space="0" w:color="auto"/>
        <w:bottom w:val="none" w:sz="0" w:space="0" w:color="auto"/>
        <w:right w:val="none" w:sz="0" w:space="0" w:color="auto"/>
      </w:divBdr>
    </w:div>
    <w:div w:id="2043244508">
      <w:bodyDiv w:val="1"/>
      <w:marLeft w:val="0"/>
      <w:marRight w:val="0"/>
      <w:marTop w:val="0"/>
      <w:marBottom w:val="0"/>
      <w:divBdr>
        <w:top w:val="none" w:sz="0" w:space="0" w:color="auto"/>
        <w:left w:val="none" w:sz="0" w:space="0" w:color="auto"/>
        <w:bottom w:val="none" w:sz="0" w:space="0" w:color="auto"/>
        <w:right w:val="none" w:sz="0" w:space="0" w:color="auto"/>
      </w:divBdr>
    </w:div>
    <w:div w:id="212345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tafa.Kucukmeral@akyatirim.com.tr" TargetMode="External"/><Relationship Id="rId13" Type="http://schemas.openxmlformats.org/officeDocument/2006/relationships/header" Target="header3.xml"/><Relationship Id="rId18" Type="http://schemas.openxmlformats.org/officeDocument/2006/relationships/image" Target="media/image3.emf"/><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emf"/><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5.jpeg"/><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4.emf"/><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ntTable" Target="fontTable.xml"/><Relationship Id="rId30"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Akyflsrv\ortak\Research\Users\Mkucukmeral\Z-Data\CCOLA%202Q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Akyflsrv\ortak\Research\Users\Mkucukmeral\Z-Data\CCOLA%202Q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056295397515048"/>
          <c:y val="3.8461755540741639E-2"/>
          <c:w val="0.79368652089220559"/>
          <c:h val="0.68147607376892461"/>
        </c:manualLayout>
      </c:layout>
      <c:barChart>
        <c:barDir val="bar"/>
        <c:grouping val="clustered"/>
        <c:varyColors val="0"/>
        <c:ser>
          <c:idx val="0"/>
          <c:order val="0"/>
          <c:tx>
            <c:strRef>
              <c:f>Graphs!$B$34</c:f>
              <c:strCache>
                <c:ptCount val="1"/>
                <c:pt idx="0">
                  <c:v>Nominal </c:v>
                </c:pt>
              </c:strCache>
            </c:strRef>
          </c:tx>
          <c:spPr>
            <a:solidFill>
              <a:srgbClr val="C0C0C0"/>
            </a:solidFill>
            <a:ln w="25400">
              <a:noFill/>
            </a:ln>
          </c:spPr>
          <c:invertIfNegative val="0"/>
          <c:cat>
            <c:strRef>
              <c:f>Graphs!$C$38:$E$38</c:f>
              <c:strCache>
                <c:ptCount val="3"/>
                <c:pt idx="0">
                  <c:v>SBB</c:v>
                </c:pt>
                <c:pt idx="1">
                  <c:v>3A</c:v>
                </c:pt>
                <c:pt idx="2">
                  <c:v>1A</c:v>
                </c:pt>
              </c:strCache>
            </c:strRef>
          </c:cat>
          <c:val>
            <c:numRef>
              <c:f>Graphs!$C$34:$E$34</c:f>
              <c:numCache>
                <c:formatCode>0%</c:formatCode>
                <c:ptCount val="3"/>
                <c:pt idx="0">
                  <c:v>0.77465501603372755</c:v>
                </c:pt>
                <c:pt idx="1">
                  <c:v>0.26221447124326569</c:v>
                </c:pt>
                <c:pt idx="2">
                  <c:v>9.9073414112615735E-2</c:v>
                </c:pt>
              </c:numCache>
            </c:numRef>
          </c:val>
          <c:extLst>
            <c:ext xmlns:c16="http://schemas.microsoft.com/office/drawing/2014/chart" uri="{C3380CC4-5D6E-409C-BE32-E72D297353CC}">
              <c16:uniqueId val="{00000000-46C4-4BB2-AADF-E381E8E7504E}"/>
            </c:ext>
          </c:extLst>
        </c:ser>
        <c:ser>
          <c:idx val="1"/>
          <c:order val="1"/>
          <c:tx>
            <c:strRef>
              <c:f>Graphs!$B$35</c:f>
              <c:strCache>
                <c:ptCount val="1"/>
                <c:pt idx="0">
                  <c:v>BIST-100 Rölatif</c:v>
                </c:pt>
              </c:strCache>
            </c:strRef>
          </c:tx>
          <c:spPr>
            <a:solidFill>
              <a:srgbClr val="FF0000"/>
            </a:solidFill>
            <a:ln w="25400">
              <a:noFill/>
            </a:ln>
          </c:spPr>
          <c:invertIfNegative val="0"/>
          <c:cat>
            <c:strRef>
              <c:f>Graphs!$C$38:$E$38</c:f>
              <c:strCache>
                <c:ptCount val="3"/>
                <c:pt idx="0">
                  <c:v>SBB</c:v>
                </c:pt>
                <c:pt idx="1">
                  <c:v>3A</c:v>
                </c:pt>
                <c:pt idx="2">
                  <c:v>1A</c:v>
                </c:pt>
              </c:strCache>
            </c:strRef>
          </c:cat>
          <c:val>
            <c:numRef>
              <c:f>Graphs!$C$35:$E$35</c:f>
              <c:numCache>
                <c:formatCode>0%</c:formatCode>
                <c:ptCount val="3"/>
                <c:pt idx="0">
                  <c:v>0.1469062037431399</c:v>
                </c:pt>
                <c:pt idx="1">
                  <c:v>0.11028933268150731</c:v>
                </c:pt>
                <c:pt idx="2">
                  <c:v>-4.0660797779506375E-2</c:v>
                </c:pt>
              </c:numCache>
            </c:numRef>
          </c:val>
          <c:extLst>
            <c:ext xmlns:c16="http://schemas.microsoft.com/office/drawing/2014/chart" uri="{C3380CC4-5D6E-409C-BE32-E72D297353CC}">
              <c16:uniqueId val="{00000001-46C4-4BB2-AADF-E381E8E7504E}"/>
            </c:ext>
          </c:extLst>
        </c:ser>
        <c:dLbls>
          <c:showLegendKey val="0"/>
          <c:showVal val="0"/>
          <c:showCatName val="0"/>
          <c:showSerName val="0"/>
          <c:showPercent val="0"/>
          <c:showBubbleSize val="0"/>
        </c:dLbls>
        <c:gapWidth val="150"/>
        <c:axId val="802526496"/>
        <c:axId val="1"/>
      </c:barChart>
      <c:catAx>
        <c:axId val="802526496"/>
        <c:scaling>
          <c:orientation val="minMax"/>
        </c:scaling>
        <c:delete val="0"/>
        <c:axPos val="l"/>
        <c:numFmt formatCode="General" sourceLinked="1"/>
        <c:majorTickMark val="out"/>
        <c:minorTickMark val="none"/>
        <c:tickLblPos val="low"/>
        <c:spPr>
          <a:ln w="3175">
            <a:solidFill>
              <a:srgbClr val="000000"/>
            </a:solidFill>
            <a:prstDash val="solid"/>
          </a:ln>
        </c:spPr>
        <c:txPr>
          <a:bodyPr rot="0" vert="horz"/>
          <a:lstStyle/>
          <a:p>
            <a:pPr>
              <a:defRPr/>
            </a:pPr>
            <a:endParaRPr lang="tr-TR"/>
          </a:p>
        </c:txPr>
        <c:crossAx val="1"/>
        <c:crosses val="autoZero"/>
        <c:auto val="1"/>
        <c:lblAlgn val="ctr"/>
        <c:lblOffset val="100"/>
        <c:tickLblSkip val="1"/>
        <c:tickMarkSkip val="1"/>
        <c:noMultiLvlLbl val="0"/>
      </c:catAx>
      <c:valAx>
        <c:axId val="1"/>
        <c:scaling>
          <c:orientation val="minMax"/>
        </c:scaling>
        <c:delete val="0"/>
        <c:axPos val="b"/>
        <c:numFmt formatCode="0%" sourceLinked="1"/>
        <c:majorTickMark val="out"/>
        <c:minorTickMark val="none"/>
        <c:tickLblPos val="nextTo"/>
        <c:spPr>
          <a:ln w="3175">
            <a:solidFill>
              <a:srgbClr val="000000"/>
            </a:solidFill>
            <a:prstDash val="solid"/>
          </a:ln>
        </c:spPr>
        <c:txPr>
          <a:bodyPr rot="0" vert="horz"/>
          <a:lstStyle/>
          <a:p>
            <a:pPr>
              <a:defRPr/>
            </a:pPr>
            <a:endParaRPr lang="tr-TR"/>
          </a:p>
        </c:txPr>
        <c:crossAx val="802526496"/>
        <c:crosses val="autoZero"/>
        <c:crossBetween val="between"/>
      </c:valAx>
      <c:spPr>
        <a:noFill/>
        <a:ln w="25400">
          <a:noFill/>
        </a:ln>
      </c:spPr>
    </c:plotArea>
    <c:legend>
      <c:legendPos val="r"/>
      <c:layout>
        <c:manualLayout>
          <c:xMode val="edge"/>
          <c:yMode val="edge"/>
          <c:x val="0.15311522973412373"/>
          <c:y val="0.8957243920668857"/>
          <c:w val="0.66051874640454222"/>
          <c:h val="9.9999999999999978E-2"/>
        </c:manualLayout>
      </c:layout>
      <c:overlay val="0"/>
      <c:spPr>
        <a:solidFill>
          <a:srgbClr val="FFFFFF"/>
        </a:solidFill>
        <a:ln w="25400">
          <a:noFill/>
        </a:ln>
      </c:spPr>
    </c:legend>
    <c:plotVisOnly val="1"/>
    <c:dispBlanksAs val="gap"/>
    <c:showDLblsOverMax val="0"/>
  </c:chart>
  <c:spPr>
    <a:noFill/>
    <a:ln w="9525">
      <a:noFill/>
    </a:ln>
  </c:spPr>
  <c:txPr>
    <a:bodyPr/>
    <a:lstStyle/>
    <a:p>
      <a:pPr>
        <a:defRPr sz="800" b="0" i="0" u="none" strike="noStrike" baseline="0">
          <a:solidFill>
            <a:srgbClr val="000000"/>
          </a:solidFill>
          <a:latin typeface="Arial" panose="020B0604020202020204" pitchFamily="34" charset="0"/>
          <a:ea typeface="Verdana"/>
          <a:cs typeface="Arial" panose="020B0604020202020204" pitchFamily="34" charset="0"/>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708871037143188"/>
          <c:y val="3.7524470899470898E-2"/>
          <c:w val="0.82758930342022652"/>
          <c:h val="0.71559126984126986"/>
        </c:manualLayout>
      </c:layout>
      <c:barChart>
        <c:barDir val="col"/>
        <c:grouping val="clustered"/>
        <c:varyColors val="0"/>
        <c:ser>
          <c:idx val="1"/>
          <c:order val="0"/>
          <c:tx>
            <c:strRef>
              <c:f>Graphs!$B$30</c:f>
              <c:strCache>
                <c:ptCount val="1"/>
                <c:pt idx="0">
                  <c:v>Brüt</c:v>
                </c:pt>
              </c:strCache>
            </c:strRef>
          </c:tx>
          <c:spPr>
            <a:solidFill>
              <a:srgbClr val="FF0000"/>
            </a:solidFill>
            <a:ln w="25400">
              <a:noFill/>
            </a:ln>
          </c:spPr>
          <c:invertIfNegative val="0"/>
          <c:cat>
            <c:strRef>
              <c:f>Graphs!$C$28:$G$28</c:f>
              <c:strCache>
                <c:ptCount val="5"/>
                <c:pt idx="0">
                  <c:v>1Ç21</c:v>
                </c:pt>
                <c:pt idx="1">
                  <c:v>2Ç21</c:v>
                </c:pt>
                <c:pt idx="2">
                  <c:v>3Ç21</c:v>
                </c:pt>
                <c:pt idx="3">
                  <c:v>4Ç21</c:v>
                </c:pt>
                <c:pt idx="4">
                  <c:v>1Ç22</c:v>
                </c:pt>
              </c:strCache>
            </c:strRef>
          </c:cat>
          <c:val>
            <c:numRef>
              <c:f>Graphs!$C$30:$G$30</c:f>
              <c:numCache>
                <c:formatCode>0.0%</c:formatCode>
                <c:ptCount val="5"/>
                <c:pt idx="0">
                  <c:v>0.33808763271062575</c:v>
                </c:pt>
                <c:pt idx="1">
                  <c:v>0.35876121335921862</c:v>
                </c:pt>
                <c:pt idx="2">
                  <c:v>0.3573187449938196</c:v>
                </c:pt>
                <c:pt idx="3">
                  <c:v>0.34740263824626816</c:v>
                </c:pt>
                <c:pt idx="4">
                  <c:v>0.32817728753323844</c:v>
                </c:pt>
              </c:numCache>
            </c:numRef>
          </c:val>
          <c:extLst>
            <c:ext xmlns:c16="http://schemas.microsoft.com/office/drawing/2014/chart" uri="{C3380CC4-5D6E-409C-BE32-E72D297353CC}">
              <c16:uniqueId val="{00000000-7659-4F52-A7D5-DCEB1D22A112}"/>
            </c:ext>
          </c:extLst>
        </c:ser>
        <c:ser>
          <c:idx val="0"/>
          <c:order val="1"/>
          <c:tx>
            <c:strRef>
              <c:f>Graphs!$B$31</c:f>
              <c:strCache>
                <c:ptCount val="1"/>
                <c:pt idx="0">
                  <c:v>FAVÖK</c:v>
                </c:pt>
              </c:strCache>
            </c:strRef>
          </c:tx>
          <c:spPr>
            <a:solidFill>
              <a:srgbClr val="C0C0C0"/>
            </a:solidFill>
            <a:ln w="25400">
              <a:noFill/>
            </a:ln>
          </c:spPr>
          <c:invertIfNegative val="0"/>
          <c:cat>
            <c:strRef>
              <c:f>Graphs!$C$28:$G$28</c:f>
              <c:strCache>
                <c:ptCount val="5"/>
                <c:pt idx="0">
                  <c:v>1Ç21</c:v>
                </c:pt>
                <c:pt idx="1">
                  <c:v>2Ç21</c:v>
                </c:pt>
                <c:pt idx="2">
                  <c:v>3Ç21</c:v>
                </c:pt>
                <c:pt idx="3">
                  <c:v>4Ç21</c:v>
                </c:pt>
                <c:pt idx="4">
                  <c:v>1Ç22</c:v>
                </c:pt>
              </c:strCache>
            </c:strRef>
          </c:cat>
          <c:val>
            <c:numRef>
              <c:f>Graphs!$C$31:$G$31</c:f>
              <c:numCache>
                <c:formatCode>0.0%</c:formatCode>
                <c:ptCount val="5"/>
                <c:pt idx="0">
                  <c:v>0.19567053473859491</c:v>
                </c:pt>
                <c:pt idx="1">
                  <c:v>0.22889350532674266</c:v>
                </c:pt>
                <c:pt idx="2">
                  <c:v>0.23768468592317274</c:v>
                </c:pt>
                <c:pt idx="3">
                  <c:v>0.16383727855419411</c:v>
                </c:pt>
                <c:pt idx="4">
                  <c:v>0.19860316157566862</c:v>
                </c:pt>
              </c:numCache>
            </c:numRef>
          </c:val>
          <c:extLst>
            <c:ext xmlns:c16="http://schemas.microsoft.com/office/drawing/2014/chart" uri="{C3380CC4-5D6E-409C-BE32-E72D297353CC}">
              <c16:uniqueId val="{00000001-7659-4F52-A7D5-DCEB1D22A112}"/>
            </c:ext>
          </c:extLst>
        </c:ser>
        <c:dLbls>
          <c:showLegendKey val="0"/>
          <c:showVal val="0"/>
          <c:showCatName val="0"/>
          <c:showSerName val="0"/>
          <c:showPercent val="0"/>
          <c:showBubbleSize val="0"/>
        </c:dLbls>
        <c:gapWidth val="150"/>
        <c:axId val="802523872"/>
        <c:axId val="1"/>
      </c:barChart>
      <c:catAx>
        <c:axId val="802523872"/>
        <c:scaling>
          <c:orientation val="minMax"/>
        </c:scaling>
        <c:delete val="0"/>
        <c:axPos val="b"/>
        <c:numFmt formatCode="#,##0" sourceLinked="0"/>
        <c:majorTickMark val="out"/>
        <c:minorTickMark val="none"/>
        <c:tickLblPos val="nextTo"/>
        <c:spPr>
          <a:ln w="3175">
            <a:solidFill>
              <a:srgbClr val="000000"/>
            </a:solidFill>
            <a:prstDash val="solid"/>
          </a:ln>
        </c:spPr>
        <c:txPr>
          <a:bodyPr rot="0" vert="horz"/>
          <a:lstStyle/>
          <a:p>
            <a:pPr>
              <a:defRPr/>
            </a:pPr>
            <a:endParaRPr lang="tr-TR"/>
          </a:p>
        </c:txPr>
        <c:crossAx val="1"/>
        <c:crosses val="autoZero"/>
        <c:auto val="1"/>
        <c:lblAlgn val="ctr"/>
        <c:lblOffset val="100"/>
        <c:tickLblSkip val="1"/>
        <c:tickMarkSkip val="1"/>
        <c:noMultiLvlLbl val="0"/>
      </c:catAx>
      <c:valAx>
        <c:axId val="1"/>
        <c:scaling>
          <c:orientation val="minMax"/>
        </c:scaling>
        <c:delete val="0"/>
        <c:axPos val="l"/>
        <c:numFmt formatCode="0%" sourceLinked="0"/>
        <c:majorTickMark val="out"/>
        <c:minorTickMark val="none"/>
        <c:tickLblPos val="nextTo"/>
        <c:spPr>
          <a:ln w="3175">
            <a:solidFill>
              <a:srgbClr val="000000"/>
            </a:solidFill>
            <a:prstDash val="solid"/>
          </a:ln>
        </c:spPr>
        <c:txPr>
          <a:bodyPr rot="0" vert="horz"/>
          <a:lstStyle/>
          <a:p>
            <a:pPr>
              <a:defRPr/>
            </a:pPr>
            <a:endParaRPr lang="tr-TR"/>
          </a:p>
        </c:txPr>
        <c:crossAx val="802523872"/>
        <c:crosses val="autoZero"/>
        <c:crossBetween val="between"/>
      </c:valAx>
      <c:spPr>
        <a:noFill/>
        <a:ln w="25400">
          <a:noFill/>
        </a:ln>
      </c:spPr>
    </c:plotArea>
    <c:legend>
      <c:legendPos val="b"/>
      <c:layout>
        <c:manualLayout>
          <c:xMode val="edge"/>
          <c:yMode val="edge"/>
          <c:x val="0.24959629629629626"/>
          <c:y val="0.8982452193475815"/>
          <c:w val="0.4899262962962963"/>
          <c:h val="9.3525179856115082E-2"/>
        </c:manualLayout>
      </c:layout>
      <c:overlay val="0"/>
      <c:spPr>
        <a:solidFill>
          <a:srgbClr val="FFFFFF"/>
        </a:solidFill>
        <a:ln w="25400">
          <a:noFill/>
        </a:ln>
      </c:spPr>
    </c:legend>
    <c:plotVisOnly val="1"/>
    <c:dispBlanksAs val="gap"/>
    <c:showDLblsOverMax val="0"/>
  </c:chart>
  <c:spPr>
    <a:noFill/>
    <a:ln w="9525">
      <a:noFill/>
    </a:ln>
  </c:spPr>
  <c:txPr>
    <a:bodyPr/>
    <a:lstStyle/>
    <a:p>
      <a:pPr>
        <a:defRPr sz="800" b="0" i="0" u="none" strike="noStrike" baseline="0">
          <a:solidFill>
            <a:srgbClr val="000000"/>
          </a:solidFill>
          <a:latin typeface="Arial" panose="020B0604020202020204" pitchFamily="34" charset="0"/>
          <a:ea typeface="Verdana"/>
          <a:cs typeface="Arial" panose="020B0604020202020204" pitchFamily="34" charset="0"/>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k Yatırım PDF Rapor" ma:contentTypeID="0x01010039F72EA40317FD49BB0CFA9C94EA161E0100D1875D777FE9924CBB16372290A3F35E" ma:contentTypeVersion="19" ma:contentTypeDescription="" ma:contentTypeScope="" ma:versionID="3fd9d8cde24b057a7a1621b66f27374b">
  <xsd:schema xmlns:xsd="http://www.w3.org/2001/XMLSchema" xmlns:xs="http://www.w3.org/2001/XMLSchema" xmlns:p="http://schemas.microsoft.com/office/2006/metadata/properties" xmlns:ns1="eee761b0-361e-495a-9d02-c3d5918d119c" targetNamespace="http://schemas.microsoft.com/office/2006/metadata/properties" ma:root="true" ma:fieldsID="9df5fd61af8ab8bcf3cbfd21816fff36" ns1:_="">
    <xsd:import namespace="eee761b0-361e-495a-9d02-c3d5918d119c"/>
    <xsd:element name="properties">
      <xsd:complexType>
        <xsd:sequence>
          <xsd:element name="documentManagement">
            <xsd:complexType>
              <xsd:all>
                <xsd:element ref="ns1:Dil"/>
                <xsd:element ref="ns1:TeaserMetni" minOccurs="0"/>
                <xsd:element ref="ns1:IcerikGosterimTipi"/>
                <xsd:element ref="ns1:HisseKodlari" minOccurs="0"/>
                <xsd:element ref="ns1:Sektor" minOccurs="0"/>
                <xsd:element ref="ns1:IcerikTarihi"/>
                <xsd:element ref="ns1:TaxCatchAll" minOccurs="0"/>
                <xsd:element ref="ns1:TaxCatchAllLabel" minOccurs="0"/>
                <xsd:element ref="ns1:b956055e75e947c990bc834d55eaf3f3" minOccurs="0"/>
                <xsd:element ref="ns1:TaxKeywordTaxHTField" minOccurs="0"/>
                <xsd:element ref="ns1:AnalistYatirim" minOccurs="0"/>
                <xsd:element ref="ns1:AnalistYatirim_x003a_Ünvan" minOccurs="0"/>
                <xsd:element ref="ns1:icerikkategorisi" minOccurs="0"/>
                <xsd:element ref="ns1:SharedWithUsers" minOccurs="0"/>
                <xsd:element ref="ns1: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761b0-361e-495a-9d02-c3d5918d119c" elementFormDefault="qualified">
    <xsd:import namespace="http://schemas.microsoft.com/office/2006/documentManagement/types"/>
    <xsd:import namespace="http://schemas.microsoft.com/office/infopath/2007/PartnerControls"/>
    <xsd:element name="Dil" ma:index="0" ma:displayName="Dil" ma:default="Türkçe" ma:format="Dropdown" ma:internalName="Dil">
      <xsd:simpleType>
        <xsd:restriction base="dms:Choice">
          <xsd:enumeration value="Türkçe"/>
          <xsd:enumeration value="İngilizce"/>
        </xsd:restriction>
      </xsd:simpleType>
    </xsd:element>
    <xsd:element name="TeaserMetni" ma:index="3" nillable="true" ma:displayName="Teaser Metni" ma:internalName="TeaserMetni" ma:readOnly="false">
      <xsd:simpleType>
        <xsd:restriction base="dms:Note"/>
      </xsd:simpleType>
    </xsd:element>
    <xsd:element name="IcerikGosterimTipi" ma:index="4" ma:displayName="İçerik Gösterim Tipi" ma:default="Public" ma:format="RadioButtons" ma:internalName="IcerikGosterimTipi">
      <xsd:simpleType>
        <xsd:restriction base="dms:Choice">
          <xsd:enumeration value="Public"/>
          <xsd:enumeration value="Customer"/>
        </xsd:restriction>
      </xsd:simpleType>
    </xsd:element>
    <xsd:element name="HisseKodlari" ma:index="6" nillable="true" ma:displayName="Hisse Kodları" ma:list="{a8f2c012-530d-42a8-9e3e-f50b14e4c78a}" ma:internalName="HisseKodlari" ma:showField="Title" ma:web="eee761b0-361e-495a-9d02-c3d5918d119c">
      <xsd:complexType>
        <xsd:complexContent>
          <xsd:extension base="dms:MultiChoiceLookup">
            <xsd:sequence>
              <xsd:element name="Value" type="dms:Lookup" maxOccurs="unbounded" minOccurs="0" nillable="true"/>
            </xsd:sequence>
          </xsd:extension>
        </xsd:complexContent>
      </xsd:complexType>
    </xsd:element>
    <xsd:element name="Sektor" ma:index="8" nillable="true" ma:displayName="Sektörler" ma:list="{6efee660-06c0-49d4-a4b8-f08012615fdb}" ma:internalName="Sektor" ma:showField="Title" ma:web="eee761b0-361e-495a-9d02-c3d5918d119c">
      <xsd:complexType>
        <xsd:complexContent>
          <xsd:extension base="dms:MultiChoiceLookup">
            <xsd:sequence>
              <xsd:element name="Value" type="dms:Lookup" maxOccurs="unbounded" minOccurs="0" nillable="true"/>
            </xsd:sequence>
          </xsd:extension>
        </xsd:complexContent>
      </xsd:complexType>
    </xsd:element>
    <xsd:element name="IcerikTarihi" ma:index="9" ma:displayName="İçerik Tarihi" ma:default="[today]" ma:format="DateTime" ma:internalName="IcerikTarihi">
      <xsd:simpleType>
        <xsd:restriction base="dms:DateTime"/>
      </xsd:simpleType>
    </xsd:element>
    <xsd:element name="TaxCatchAll" ma:index="10" nillable="true" ma:displayName="Taxonomy Catch All Column" ma:hidden="true" ma:list="{360aee9f-5c2c-497d-8f19-347ef1c1e93c}" ma:internalName="TaxCatchAll" ma:showField="CatchAllData" ma:web="eee761b0-361e-495a-9d02-c3d5918d119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360aee9f-5c2c-497d-8f19-347ef1c1e93c}" ma:internalName="TaxCatchAllLabel" ma:readOnly="true" ma:showField="CatchAllDataLabel" ma:web="eee761b0-361e-495a-9d02-c3d5918d119c">
      <xsd:complexType>
        <xsd:complexContent>
          <xsd:extension base="dms:MultiChoiceLookup">
            <xsd:sequence>
              <xsd:element name="Value" type="dms:Lookup" maxOccurs="unbounded" minOccurs="0" nillable="true"/>
            </xsd:sequence>
          </xsd:extension>
        </xsd:complexContent>
      </xsd:complexType>
    </xsd:element>
    <xsd:element name="b956055e75e947c990bc834d55eaf3f3" ma:index="15" ma:taxonomy="true" ma:internalName="b956055e75e947c990bc834d55eaf3f3" ma:taxonomyFieldName="RaporSinifi" ma:displayName="Rapor Sınıfı" ma:default="" ma:fieldId="{b956055e-75e9-47c9-90bc-834d55eaf3f3}" ma:taxonomyMulti="true" ma:sspId="b21cc2f7-c1b0-4e48-b9cc-3ce73dd9fe38" ma:termSetId="4b6b49c8-e7ee-47e3-8c5e-83f89d3b3609"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readOnly="false" ma:fieldId="{23f27201-bee3-471e-b2e7-b64fd8b7ca38}" ma:taxonomyMulti="true" ma:sspId="b21cc2f7-c1b0-4e48-b9cc-3ce73dd9fe38" ma:termSetId="00000000-0000-0000-0000-000000000000" ma:anchorId="00000000-0000-0000-0000-000000000000" ma:open="true" ma:isKeyword="true">
      <xsd:complexType>
        <xsd:sequence>
          <xsd:element ref="pc:Terms" minOccurs="0" maxOccurs="1"/>
        </xsd:sequence>
      </xsd:complexType>
    </xsd:element>
    <xsd:element name="AnalistYatirim" ma:index="20" nillable="true" ma:displayName="Analist AY" ma:list="{f2393eef-48fc-4aee-b5d9-2bde7bc042f2}" ma:internalName="AnalistYatirim" ma:showField="Title" ma:web="eee761b0-361e-495a-9d02-c3d5918d119c">
      <xsd:complexType>
        <xsd:complexContent>
          <xsd:extension base="dms:MultiChoiceLookup">
            <xsd:sequence>
              <xsd:element name="Value" type="dms:Lookup" maxOccurs="unbounded" minOccurs="0" nillable="true"/>
            </xsd:sequence>
          </xsd:extension>
        </xsd:complexContent>
      </xsd:complexType>
    </xsd:element>
    <xsd:element name="AnalistYatirim_x003a_Ünvan" ma:index="21" nillable="true" ma:displayName="AnalistYatirim:Ünvan" ma:list="{f2393eef-48fc-4aee-b5d9-2bde7bc042f2}" ma:internalName="AnalistYatirim_x003A__x00dc_nvan" ma:readOnly="true" ma:showField="Unvan" ma:web="eee761b0-361e-495a-9d02-c3d5918d119c">
      <xsd:complexType>
        <xsd:complexContent>
          <xsd:extension base="dms:MultiChoiceLookup">
            <xsd:sequence>
              <xsd:element name="Value" type="dms:Lookup" maxOccurs="unbounded" minOccurs="0" nillable="true"/>
            </xsd:sequence>
          </xsd:extension>
        </xsd:complexContent>
      </xsd:complexType>
    </xsd:element>
    <xsd:element name="icerikkategorisi" ma:index="22" nillable="true" ma:displayName="İçerik Kategorisi" ma:list="{994b8dbc-3894-4ed6-ac0f-56168603b399}" ma:internalName="icerikkategorisi" ma:showField="Title" ma:web="eee761b0-361e-495a-9d02-c3d5918d119c" ma:requiredMultiChoice="tru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eee761b0-361e-495a-9d02-c3d5918d119c">
      <Terms xmlns="http://schemas.microsoft.com/office/infopath/2007/PartnerControls"/>
    </TaxKeywordTaxHTField>
    <b956055e75e947c990bc834d55eaf3f3 xmlns="eee761b0-361e-495a-9d02-c3d5918d119c">
      <Terms xmlns="http://schemas.microsoft.com/office/infopath/2007/PartnerControls">
        <TermInfo xmlns="http://schemas.microsoft.com/office/infopath/2007/PartnerControls">
          <TermName xmlns="http://schemas.microsoft.com/office/infopath/2007/PartnerControls">Kâr Değerlendirme Raporu</TermName>
          <TermId xmlns="http://schemas.microsoft.com/office/infopath/2007/PartnerControls">46079524-a3ea-40ef-9229-4b7452532355</TermId>
        </TermInfo>
      </Terms>
    </b956055e75e947c990bc834d55eaf3f3>
    <icerikkategorisi xmlns="eee761b0-361e-495a-9d02-c3d5918d119c">
      <Value>1</Value>
    </icerikkategorisi>
    <IcerikTarihi xmlns="eee761b0-361e-495a-9d02-c3d5918d119c">2022-08-10T06:12:00+00:00</IcerikTarihi>
    <IcerikGosterimTipi xmlns="eee761b0-361e-495a-9d02-c3d5918d119c">Public</IcerikGosterimTipi>
    <TaxCatchAll xmlns="eee761b0-361e-495a-9d02-c3d5918d119c">
      <Value>89</Value>
    </TaxCatchAll>
    <Dil xmlns="eee761b0-361e-495a-9d02-c3d5918d119c">Türkçe</Dil>
    <HisseKodlari xmlns="eee761b0-361e-495a-9d02-c3d5918d119c">
      <Value>2287</Value>
    </HisseKodlari>
    <TeaserMetni xmlns="eee761b0-361e-495a-9d02-c3d5918d119c">Beklentilere paralel sonuçlar: Coca-Cola İçecek 2Ç22’de piyasa beklentisine paralel 1.23 milyar TL net kar açıkladı. Net kar yıllık bazda %71 yükseldi. Şirket’in satışları ve FAVÖK’ü sırasıyla yıllık bazda %152 ve %112 büyüme gösterdi ve hem satışlar hem FAVÖK piyasa beklentisine paralel gerçekleşti. Sonuçların beklentiler ile uyumlu olması nedeniyle piyasa tepkisinin nötr olmasını bekliyoruz. Şirket, 2022 öngörülerini değiştirmezken, beklentilerine göre ciro da yukarı yönlü sapma, FAVÖK marjında ise aşağı yönlü sapma riski olduğunu belirtti. Şirket’in öngörüleri bizim beklentilerimize de paralellik taşıyor. 
AL tavsiyemizi yineliyoruz: Sonuçların ardından güncel makro tahminlerimiz ile değerlememizde yukarı yönlü güncelleme yapıyoruz. Hedef değerimizi hisse başına 205TL’ye (önceki:169 TL/hisse) yükseltiyoruz. Güncel hedef değerimize %33 getiri potansiyeli sunan hisse için AL tavsiyemizi devam ettiriyoruz. Hisse 2022 tahminlerimize göre 5.4x FD/FAVÖK ile uluslararası benzerlerine göre yakın dönem tarihsel ortalamalarına yakın yaklaşık %35 iskonto ile işlem görüyor.  </TeaserMetni>
    <AnalistYatirim xmlns="eee761b0-361e-495a-9d02-c3d5918d119c">
      <Value>17</Value>
    </AnalistYatirim>
    <Sektor xmlns="eee761b0-361e-495a-9d02-c3d5918d119c">
      <Value>25</Value>
    </Sektor>
  </documentManagement>
</p:properties>
</file>

<file path=customXml/itemProps1.xml><?xml version="1.0" encoding="utf-8"?>
<ds:datastoreItem xmlns:ds="http://schemas.openxmlformats.org/officeDocument/2006/customXml" ds:itemID="{3FA47BE6-2C07-4441-9EF5-573FF5D1D026}">
  <ds:schemaRefs>
    <ds:schemaRef ds:uri="http://schemas.openxmlformats.org/officeDocument/2006/bibliography"/>
  </ds:schemaRefs>
</ds:datastoreItem>
</file>

<file path=customXml/itemProps2.xml><?xml version="1.0" encoding="utf-8"?>
<ds:datastoreItem xmlns:ds="http://schemas.openxmlformats.org/officeDocument/2006/customXml" ds:itemID="{8AC8F3B2-C401-429A-B40E-16DC8F28F7EE}"/>
</file>

<file path=customXml/itemProps3.xml><?xml version="1.0" encoding="utf-8"?>
<ds:datastoreItem xmlns:ds="http://schemas.openxmlformats.org/officeDocument/2006/customXml" ds:itemID="{5EF2896F-642F-4D4A-9919-7855E3E2B64D}"/>
</file>

<file path=customXml/itemProps4.xml><?xml version="1.0" encoding="utf-8"?>
<ds:datastoreItem xmlns:ds="http://schemas.openxmlformats.org/officeDocument/2006/customXml" ds:itemID="{DA1DB371-847C-4B75-9DF2-3402D62F6196}"/>
</file>

<file path=docProps/app.xml><?xml version="1.0" encoding="utf-8"?>
<Properties xmlns="http://schemas.openxmlformats.org/officeDocument/2006/extended-properties" xmlns:vt="http://schemas.openxmlformats.org/officeDocument/2006/docPropsVTypes">
  <Template>Normal.dotm</Template>
  <TotalTime>193</TotalTime>
  <Pages>5</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CCOLA 2Ç22 Sonuçları ve Hedef Değer Revizyonu</dc:title>
  <dc:creator>Mustafa Küçükmeral (Akyatırım)</dc:creator>
  <cp:keywords/>
  <cp:lastModifiedBy>Mustafa Küçükmeral (Akyatırım)</cp:lastModifiedBy>
  <cp:revision>14</cp:revision>
  <cp:lastPrinted>2022-08-10T04:51:00Z</cp:lastPrinted>
  <dcterms:created xsi:type="dcterms:W3CDTF">2022-08-10T00:18:00Z</dcterms:created>
  <dcterms:modified xsi:type="dcterms:W3CDTF">2022-08-10T06:02:00Z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2581f68d-56eb-4e6f-b771-0fabe5ff17d2</vt:lpwstr>
  </property>
  <property fmtid="{D5CDD505-2E9C-101B-9397-08002B2CF9AE}" pid="3" name="Classification">
    <vt:lpwstr>KaQ4W6epGI</vt:lpwstr>
  </property>
  <property fmtid="{D5CDD505-2E9C-101B-9397-08002B2CF9AE}" pid="4" name="KVKK">
    <vt:lpwstr>Kv1Nalu8uZ</vt:lpwstr>
  </property>
  <property fmtid="{D5CDD505-2E9C-101B-9397-08002B2CF9AE}" pid="5" name="Share">
    <vt:lpwstr>xbc1hp2f</vt:lpwstr>
  </property>
  <property fmtid="{D5CDD505-2E9C-101B-9397-08002B2CF9AE}" pid="6" name="Etiket">
    <vt:lpwstr>E1x7gB01</vt:lpwstr>
  </property>
  <property fmtid="{D5CDD505-2E9C-101B-9397-08002B2CF9AE}" pid="7" name="ContentTypeId">
    <vt:lpwstr>0x01010039F72EA40317FD49BB0CFA9C94EA161E0100D1875D777FE9924CBB16372290A3F35E</vt:lpwstr>
  </property>
  <property fmtid="{D5CDD505-2E9C-101B-9397-08002B2CF9AE}" pid="8" name="TaxKeyword">
    <vt:lpwstr/>
  </property>
  <property fmtid="{D5CDD505-2E9C-101B-9397-08002B2CF9AE}" pid="9" name="RaporSinifi">
    <vt:lpwstr>89;#Kâr Değerlendirme Raporu|46079524-a3ea-40ef-9229-4b7452532355</vt:lpwstr>
  </property>
  <property fmtid="{D5CDD505-2E9C-101B-9397-08002B2CF9AE}" pid="10" name="LiveUrl">
    <vt:lpwstr>https://yatirim.akbank.com/_layouts/15/AkbankYatirimciPortali/Rapor/Download.aspx?ID=7423</vt:lpwstr>
  </property>
  <property fmtid="{D5CDD505-2E9C-101B-9397-08002B2CF9AE}" pid="11" name="WorkflowChangePath">
    <vt:lpwstr>212bc87e-e529-45e9-aa99-d2b8436c1560,4;</vt:lpwstr>
  </property>
</Properties>
</file>